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D088A" w14:textId="5354A6D1" w:rsidR="007232C3" w:rsidRPr="00E649E1" w:rsidRDefault="001831D1" w:rsidP="001314CA">
      <w:pPr>
        <w:spacing w:line="276" w:lineRule="auto"/>
        <w:jc w:val="both"/>
        <w:rPr>
          <w:rFonts w:asciiTheme="minorHAnsi" w:hAnsiTheme="minorHAnsi" w:cstheme="minorHAnsi"/>
          <w:sz w:val="22"/>
          <w:szCs w:val="22"/>
        </w:rPr>
      </w:pPr>
      <w:r w:rsidRPr="00E649E1">
        <w:rPr>
          <w:rFonts w:asciiTheme="minorHAnsi" w:hAnsiTheme="minorHAnsi" w:cstheme="minorHAnsi"/>
          <w:b/>
          <w:sz w:val="22"/>
          <w:szCs w:val="22"/>
        </w:rPr>
        <w:t>Nr postępowania:</w:t>
      </w:r>
      <w:r w:rsidR="00D56691" w:rsidRPr="00E649E1">
        <w:rPr>
          <w:rFonts w:asciiTheme="minorHAnsi" w:hAnsiTheme="minorHAnsi" w:cstheme="minorHAnsi"/>
          <w:b/>
          <w:sz w:val="22"/>
          <w:szCs w:val="22"/>
        </w:rPr>
        <w:t xml:space="preserve"> </w:t>
      </w:r>
      <w:r w:rsidR="00C5272A" w:rsidRPr="00E649E1">
        <w:rPr>
          <w:rFonts w:asciiTheme="minorHAnsi" w:hAnsiTheme="minorHAnsi" w:cstheme="minorHAnsi"/>
          <w:b/>
          <w:sz w:val="22"/>
          <w:szCs w:val="22"/>
        </w:rPr>
        <w:t>91</w:t>
      </w:r>
      <w:r w:rsidR="00D56691" w:rsidRPr="00E649E1">
        <w:rPr>
          <w:rFonts w:asciiTheme="minorHAnsi" w:hAnsiTheme="minorHAnsi" w:cstheme="minorHAnsi"/>
          <w:b/>
          <w:sz w:val="22"/>
          <w:szCs w:val="22"/>
        </w:rPr>
        <w:t>/ZZ/2026</w:t>
      </w:r>
      <w:r w:rsidR="007232C3" w:rsidRPr="00E649E1">
        <w:rPr>
          <w:rFonts w:asciiTheme="minorHAnsi" w:hAnsiTheme="minorHAnsi" w:cstheme="minorHAnsi"/>
          <w:sz w:val="22"/>
          <w:szCs w:val="22"/>
        </w:rPr>
        <w:tab/>
      </w:r>
      <w:r w:rsidR="007232C3" w:rsidRPr="00E649E1">
        <w:rPr>
          <w:rFonts w:asciiTheme="minorHAnsi" w:hAnsiTheme="minorHAnsi" w:cstheme="minorHAnsi"/>
          <w:sz w:val="22"/>
          <w:szCs w:val="22"/>
        </w:rPr>
        <w:tab/>
      </w:r>
      <w:r w:rsidR="007232C3" w:rsidRPr="00E649E1">
        <w:rPr>
          <w:rFonts w:asciiTheme="minorHAnsi" w:hAnsiTheme="minorHAnsi" w:cstheme="minorHAnsi"/>
          <w:sz w:val="22"/>
          <w:szCs w:val="22"/>
        </w:rPr>
        <w:tab/>
      </w:r>
      <w:r w:rsidR="007232C3" w:rsidRPr="00E649E1">
        <w:rPr>
          <w:rFonts w:asciiTheme="minorHAnsi" w:hAnsiTheme="minorHAnsi" w:cstheme="minorHAnsi"/>
          <w:sz w:val="22"/>
          <w:szCs w:val="22"/>
        </w:rPr>
        <w:tab/>
        <w:t xml:space="preserve">        </w:t>
      </w:r>
      <w:r w:rsidR="00E84C61" w:rsidRPr="00E649E1">
        <w:rPr>
          <w:rFonts w:asciiTheme="minorHAnsi" w:hAnsiTheme="minorHAnsi" w:cstheme="minorHAnsi"/>
          <w:sz w:val="22"/>
          <w:szCs w:val="22"/>
        </w:rPr>
        <w:t xml:space="preserve">                </w:t>
      </w:r>
      <w:r w:rsidR="007232C3" w:rsidRPr="00E649E1">
        <w:rPr>
          <w:rFonts w:asciiTheme="minorHAnsi" w:hAnsiTheme="minorHAnsi" w:cstheme="minorHAnsi"/>
          <w:sz w:val="22"/>
          <w:szCs w:val="22"/>
        </w:rPr>
        <w:t xml:space="preserve">Gdańsk, dnia </w:t>
      </w:r>
      <w:r w:rsidR="00F105E3" w:rsidRPr="00E649E1">
        <w:rPr>
          <w:rFonts w:asciiTheme="minorHAnsi" w:hAnsiTheme="minorHAnsi" w:cstheme="minorHAnsi"/>
          <w:sz w:val="22"/>
          <w:szCs w:val="22"/>
        </w:rPr>
        <w:t>2</w:t>
      </w:r>
      <w:r w:rsidR="00C5272A" w:rsidRPr="00E649E1">
        <w:rPr>
          <w:rFonts w:asciiTheme="minorHAnsi" w:hAnsiTheme="minorHAnsi" w:cstheme="minorHAnsi"/>
          <w:sz w:val="22"/>
          <w:szCs w:val="22"/>
        </w:rPr>
        <w:t>0</w:t>
      </w:r>
      <w:r w:rsidR="00D56691" w:rsidRPr="00E649E1">
        <w:rPr>
          <w:rFonts w:asciiTheme="minorHAnsi" w:hAnsiTheme="minorHAnsi" w:cstheme="minorHAnsi"/>
          <w:sz w:val="22"/>
          <w:szCs w:val="22"/>
        </w:rPr>
        <w:t>.0</w:t>
      </w:r>
      <w:r w:rsidR="00C5272A" w:rsidRPr="00E649E1">
        <w:rPr>
          <w:rFonts w:asciiTheme="minorHAnsi" w:hAnsiTheme="minorHAnsi" w:cstheme="minorHAnsi"/>
          <w:sz w:val="22"/>
          <w:szCs w:val="22"/>
        </w:rPr>
        <w:t>7</w:t>
      </w:r>
      <w:r w:rsidR="00D56691" w:rsidRPr="00E649E1">
        <w:rPr>
          <w:rFonts w:asciiTheme="minorHAnsi" w:hAnsiTheme="minorHAnsi" w:cstheme="minorHAnsi"/>
          <w:sz w:val="22"/>
          <w:szCs w:val="22"/>
        </w:rPr>
        <w:t>.2026 r.</w:t>
      </w:r>
    </w:p>
    <w:p w14:paraId="0A1DF799" w14:textId="77777777" w:rsidR="00B2111F" w:rsidRPr="00E649E1" w:rsidRDefault="00B2111F" w:rsidP="001314CA">
      <w:pPr>
        <w:spacing w:line="276" w:lineRule="auto"/>
        <w:jc w:val="both"/>
        <w:rPr>
          <w:rFonts w:asciiTheme="minorHAnsi" w:hAnsiTheme="minorHAnsi" w:cstheme="minorHAnsi"/>
          <w:sz w:val="22"/>
          <w:szCs w:val="22"/>
        </w:rPr>
      </w:pPr>
    </w:p>
    <w:p w14:paraId="2CD31D0B" w14:textId="37C5AB02" w:rsidR="008B28D0" w:rsidRPr="00E649E1" w:rsidRDefault="008B28D0" w:rsidP="001314CA">
      <w:pPr>
        <w:spacing w:line="276" w:lineRule="auto"/>
        <w:jc w:val="both"/>
        <w:rPr>
          <w:rFonts w:asciiTheme="minorHAnsi" w:hAnsiTheme="minorHAnsi" w:cstheme="minorHAnsi"/>
          <w:sz w:val="22"/>
          <w:szCs w:val="22"/>
        </w:rPr>
      </w:pPr>
    </w:p>
    <w:p w14:paraId="0511B996" w14:textId="3AB06B32" w:rsidR="007232C3" w:rsidRPr="00E649E1" w:rsidRDefault="007232C3" w:rsidP="001314CA">
      <w:pPr>
        <w:widowControl w:val="0"/>
        <w:autoSpaceDE w:val="0"/>
        <w:autoSpaceDN w:val="0"/>
        <w:adjustRightInd w:val="0"/>
        <w:spacing w:line="276" w:lineRule="auto"/>
        <w:jc w:val="center"/>
        <w:rPr>
          <w:rFonts w:asciiTheme="minorHAnsi" w:hAnsiTheme="minorHAnsi" w:cstheme="minorHAnsi"/>
          <w:b/>
          <w:sz w:val="22"/>
          <w:szCs w:val="22"/>
        </w:rPr>
      </w:pPr>
      <w:r w:rsidRPr="00E649E1">
        <w:rPr>
          <w:rFonts w:asciiTheme="minorHAnsi" w:hAnsiTheme="minorHAnsi" w:cstheme="minorHAnsi"/>
          <w:b/>
          <w:sz w:val="22"/>
          <w:szCs w:val="22"/>
        </w:rPr>
        <w:t>Do uczestników postępowania</w:t>
      </w:r>
    </w:p>
    <w:p w14:paraId="1D0D2300" w14:textId="77777777" w:rsidR="00B2111F" w:rsidRPr="00E649E1" w:rsidRDefault="00B2111F" w:rsidP="001314CA">
      <w:pPr>
        <w:widowControl w:val="0"/>
        <w:autoSpaceDE w:val="0"/>
        <w:autoSpaceDN w:val="0"/>
        <w:adjustRightInd w:val="0"/>
        <w:spacing w:line="276" w:lineRule="auto"/>
        <w:jc w:val="center"/>
        <w:rPr>
          <w:rFonts w:asciiTheme="minorHAnsi" w:hAnsiTheme="minorHAnsi" w:cstheme="minorHAnsi"/>
          <w:b/>
          <w:sz w:val="22"/>
          <w:szCs w:val="22"/>
        </w:rPr>
      </w:pPr>
    </w:p>
    <w:p w14:paraId="63432177" w14:textId="77777777" w:rsidR="001314CA" w:rsidRPr="00E649E1" w:rsidRDefault="001314CA" w:rsidP="001314CA">
      <w:pPr>
        <w:widowControl w:val="0"/>
        <w:autoSpaceDE w:val="0"/>
        <w:autoSpaceDN w:val="0"/>
        <w:adjustRightInd w:val="0"/>
        <w:spacing w:line="276" w:lineRule="auto"/>
        <w:jc w:val="center"/>
        <w:rPr>
          <w:rFonts w:asciiTheme="minorHAnsi" w:hAnsiTheme="minorHAnsi" w:cstheme="minorHAnsi"/>
          <w:b/>
          <w:sz w:val="22"/>
          <w:szCs w:val="22"/>
        </w:rPr>
      </w:pPr>
    </w:p>
    <w:p w14:paraId="05078F40" w14:textId="1BBE94C5" w:rsidR="002A3524" w:rsidRPr="00E649E1" w:rsidRDefault="007232C3" w:rsidP="00CF583E">
      <w:pPr>
        <w:widowControl w:val="0"/>
        <w:autoSpaceDE w:val="0"/>
        <w:autoSpaceDN w:val="0"/>
        <w:adjustRightInd w:val="0"/>
        <w:spacing w:after="120" w:line="276" w:lineRule="auto"/>
        <w:jc w:val="both"/>
        <w:rPr>
          <w:rFonts w:asciiTheme="minorHAnsi" w:hAnsiTheme="minorHAnsi" w:cstheme="minorHAnsi"/>
          <w:sz w:val="22"/>
          <w:szCs w:val="22"/>
        </w:rPr>
      </w:pPr>
      <w:r w:rsidRPr="00E649E1">
        <w:rPr>
          <w:rFonts w:asciiTheme="minorHAnsi" w:eastAsia="Calibri" w:hAnsiTheme="minorHAnsi" w:cstheme="minorHAnsi"/>
          <w:b/>
          <w:bCs/>
          <w:sz w:val="22"/>
          <w:szCs w:val="22"/>
          <w:lang w:eastAsia="en-US"/>
        </w:rPr>
        <w:t xml:space="preserve">Dotyczy </w:t>
      </w:r>
      <w:r w:rsidR="002B2260" w:rsidRPr="00E649E1">
        <w:rPr>
          <w:rFonts w:asciiTheme="minorHAnsi" w:eastAsia="Calibri" w:hAnsiTheme="minorHAnsi" w:cstheme="minorHAnsi"/>
          <w:b/>
          <w:bCs/>
          <w:iCs/>
          <w:sz w:val="22"/>
          <w:szCs w:val="22"/>
          <w:lang w:eastAsia="en-US"/>
        </w:rPr>
        <w:t>postępowania:</w:t>
      </w:r>
      <w:r w:rsidR="00CF583E" w:rsidRPr="00E649E1">
        <w:rPr>
          <w:rFonts w:asciiTheme="minorHAnsi" w:eastAsia="Calibri" w:hAnsiTheme="minorHAnsi" w:cstheme="minorHAnsi"/>
          <w:iCs/>
          <w:sz w:val="22"/>
          <w:szCs w:val="22"/>
          <w:lang w:eastAsia="en-US"/>
        </w:rPr>
        <w:t xml:space="preserve"> </w:t>
      </w:r>
      <w:r w:rsidR="00C5272A" w:rsidRPr="00E649E1">
        <w:rPr>
          <w:rFonts w:asciiTheme="minorHAnsi" w:eastAsia="Calibri" w:hAnsiTheme="minorHAnsi" w:cstheme="minorHAnsi"/>
          <w:iCs/>
          <w:sz w:val="22"/>
          <w:szCs w:val="22"/>
          <w:lang w:eastAsia="en-US"/>
        </w:rPr>
        <w:t>91</w:t>
      </w:r>
      <w:r w:rsidR="00CF583E" w:rsidRPr="00E649E1">
        <w:rPr>
          <w:rFonts w:asciiTheme="minorHAnsi" w:eastAsia="Calibri" w:hAnsiTheme="minorHAnsi" w:cstheme="minorHAnsi"/>
          <w:iCs/>
          <w:sz w:val="22"/>
          <w:szCs w:val="22"/>
          <w:lang w:eastAsia="en-US"/>
        </w:rPr>
        <w:t xml:space="preserve">/ZZ/2026 na usługę polegającą na </w:t>
      </w:r>
      <w:r w:rsidR="00C5272A" w:rsidRPr="00E649E1">
        <w:rPr>
          <w:rFonts w:asciiTheme="minorHAnsi" w:hAnsiTheme="minorHAnsi" w:cstheme="minorHAnsi"/>
          <w:sz w:val="22"/>
          <w:szCs w:val="22"/>
        </w:rPr>
        <w:t>świadczeniu usługi konserwacji systemów oświetlenia awaryjnego polegających na naprawie wskazanych w zapytaniu nieprawidłowości, wykonaniu przeglądów zgodnie z harmonogramem oraz wykonanie innych zleconych w trakcie trwania umowy napraw, zgodnie z cennikiem i zasadami rozliczania określonymi w umowie.</w:t>
      </w:r>
    </w:p>
    <w:p w14:paraId="6B015260" w14:textId="77777777" w:rsidR="00C0517B" w:rsidRPr="00E649E1" w:rsidRDefault="00C0517B" w:rsidP="00CF583E">
      <w:pPr>
        <w:widowControl w:val="0"/>
        <w:autoSpaceDE w:val="0"/>
        <w:autoSpaceDN w:val="0"/>
        <w:adjustRightInd w:val="0"/>
        <w:spacing w:after="120" w:line="276" w:lineRule="auto"/>
        <w:jc w:val="both"/>
        <w:rPr>
          <w:rFonts w:asciiTheme="minorHAnsi" w:eastAsia="Calibri" w:hAnsiTheme="minorHAnsi" w:cstheme="minorHAnsi"/>
          <w:iCs/>
          <w:sz w:val="22"/>
          <w:szCs w:val="22"/>
          <w:lang w:eastAsia="en-US"/>
        </w:rPr>
      </w:pPr>
    </w:p>
    <w:p w14:paraId="7F1F982C" w14:textId="2CC20C43" w:rsidR="00AC5A9D" w:rsidRPr="00E649E1" w:rsidRDefault="00AC5A9D" w:rsidP="001314CA">
      <w:pPr>
        <w:spacing w:line="276" w:lineRule="auto"/>
        <w:jc w:val="both"/>
        <w:rPr>
          <w:rFonts w:asciiTheme="minorHAnsi" w:hAnsiTheme="minorHAnsi" w:cstheme="minorHAnsi"/>
          <w:sz w:val="22"/>
          <w:szCs w:val="22"/>
        </w:rPr>
      </w:pPr>
      <w:r w:rsidRPr="00E649E1">
        <w:rPr>
          <w:rFonts w:asciiTheme="minorHAnsi" w:hAnsiTheme="minorHAnsi" w:cstheme="minorHAnsi"/>
          <w:sz w:val="22"/>
          <w:szCs w:val="22"/>
        </w:rPr>
        <w:t>Gdański Uniwersytet Medyczny, jako Zamawiający, zawiadamia, iż na zgłoszone pisemnie pytani</w:t>
      </w:r>
      <w:r w:rsidR="00F105E3" w:rsidRPr="00E649E1">
        <w:rPr>
          <w:rFonts w:asciiTheme="minorHAnsi" w:hAnsiTheme="minorHAnsi" w:cstheme="minorHAnsi"/>
          <w:sz w:val="22"/>
          <w:szCs w:val="22"/>
        </w:rPr>
        <w:t>a</w:t>
      </w:r>
      <w:r w:rsidRPr="00E649E1">
        <w:rPr>
          <w:rFonts w:asciiTheme="minorHAnsi" w:hAnsiTheme="minorHAnsi" w:cstheme="minorHAnsi"/>
          <w:sz w:val="22"/>
          <w:szCs w:val="22"/>
        </w:rPr>
        <w:t xml:space="preserve"> udziela odpowiedzi jak niżej:</w:t>
      </w:r>
    </w:p>
    <w:p w14:paraId="2B5D22A9" w14:textId="77777777" w:rsidR="00C0517B" w:rsidRPr="00E649E1" w:rsidRDefault="00C0517B" w:rsidP="001314CA">
      <w:pPr>
        <w:spacing w:line="276" w:lineRule="auto"/>
        <w:jc w:val="both"/>
        <w:rPr>
          <w:rFonts w:asciiTheme="minorHAnsi" w:hAnsiTheme="minorHAnsi" w:cstheme="minorHAnsi"/>
          <w:sz w:val="22"/>
          <w:szCs w:val="22"/>
        </w:rPr>
      </w:pPr>
    </w:p>
    <w:p w14:paraId="61D14BA9" w14:textId="77777777" w:rsidR="00C5272A" w:rsidRPr="00E649E1" w:rsidRDefault="00AC5A9D" w:rsidP="00C5272A">
      <w:pPr>
        <w:pStyle w:val="xmsonormal"/>
        <w:shd w:val="clear" w:color="auto" w:fill="FFFFFF"/>
        <w:spacing w:before="0" w:beforeAutospacing="0" w:after="0" w:afterAutospacing="0"/>
        <w:rPr>
          <w:rFonts w:asciiTheme="minorHAnsi" w:hAnsiTheme="minorHAnsi" w:cstheme="minorHAnsi"/>
          <w:color w:val="242424"/>
          <w:sz w:val="22"/>
          <w:szCs w:val="22"/>
        </w:rPr>
      </w:pPr>
      <w:r w:rsidRPr="00E649E1">
        <w:rPr>
          <w:rFonts w:asciiTheme="minorHAnsi" w:hAnsiTheme="minorHAnsi" w:cstheme="minorHAnsi"/>
          <w:b/>
          <w:sz w:val="22"/>
          <w:szCs w:val="22"/>
        </w:rPr>
        <w:br/>
      </w:r>
      <w:r w:rsidR="0092176F" w:rsidRPr="00E649E1">
        <w:rPr>
          <w:rFonts w:asciiTheme="minorHAnsi" w:hAnsiTheme="minorHAnsi" w:cstheme="minorHAnsi"/>
          <w:b/>
          <w:sz w:val="22"/>
          <w:szCs w:val="22"/>
        </w:rPr>
        <w:t>Pytanie</w:t>
      </w:r>
      <w:r w:rsidR="00B2111F" w:rsidRPr="00E649E1">
        <w:rPr>
          <w:rFonts w:asciiTheme="minorHAnsi" w:hAnsiTheme="minorHAnsi" w:cstheme="minorHAnsi"/>
          <w:b/>
          <w:sz w:val="22"/>
          <w:szCs w:val="22"/>
        </w:rPr>
        <w:t xml:space="preserve"> 1</w:t>
      </w:r>
      <w:r w:rsidR="0092176F" w:rsidRPr="00E649E1">
        <w:rPr>
          <w:rFonts w:asciiTheme="minorHAnsi" w:hAnsiTheme="minorHAnsi" w:cstheme="minorHAnsi"/>
          <w:b/>
          <w:sz w:val="22"/>
          <w:szCs w:val="22"/>
        </w:rPr>
        <w:t>:</w:t>
      </w:r>
      <w:r w:rsidR="00B2111F" w:rsidRPr="00E649E1">
        <w:rPr>
          <w:rFonts w:asciiTheme="minorHAnsi" w:hAnsiTheme="minorHAnsi" w:cstheme="minorHAnsi"/>
          <w:b/>
          <w:sz w:val="22"/>
          <w:szCs w:val="22"/>
        </w:rPr>
        <w:t xml:space="preserve"> </w:t>
      </w:r>
      <w:r w:rsidR="00C5272A" w:rsidRPr="00E649E1">
        <w:rPr>
          <w:rFonts w:asciiTheme="minorHAnsi" w:hAnsiTheme="minorHAnsi" w:cstheme="minorHAnsi"/>
          <w:color w:val="1F497D"/>
          <w:sz w:val="22"/>
          <w:szCs w:val="22"/>
          <w:bdr w:val="none" w:sz="0" w:space="0" w:color="auto" w:frame="1"/>
        </w:rPr>
        <w:t>Zgodnie z pkt 3.1 OPZ, przy wymianie akumulatorów należy stosować akumulatory „tego samego typu co inne akumulatory wykorzystywane na obiekcie", zapewniające czas pracy oprawy nie krótszy niż akumulator wymieniany. Zakres napraw (Załącznik nr 1 do OPZ) obejmuje jednak również wymianę kompletnych opraw na nowe.</w:t>
      </w:r>
    </w:p>
    <w:p w14:paraId="355088C8"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W przypadku wymiany całych opraw rekomendujemy zastosowanie opraw wyposażonych fabrycznie w akumulatory w technologii LiFePO4 w miejsce dotychczasowej technologii Ni-Cd / Ni-MH. Rozwiązanie to zapewnia zachowanie wszystkich parametrów wymaganych przez Zamawiającego (czas pracy awaryjnej min. 1 h oraz pełną kompatybilność z systemem monitorowania na obiekcie), a jednocześnie przynosi wymierne korzyści eksploatacyjne: akumulatory LiFePO4 charakteryzują się istotnie dłuższą żywotnością niż ogniwa Ni-Cd / Ni-MH, co bezpośrednio przekłada się na wyższą niezawodność systemu oraz wydłużenie okresów między serwisowych. Należy również zwrócić uwagę, że oprawy wyposażane w akumulatory Ni-Cd / Ni-MH są sukcesywnie wycofywane z oferty producentów, co w perspektywie trwania umowy może w praktyce uniemożliwić dobór opraw z ogniwami tej samej technologii.</w:t>
      </w:r>
    </w:p>
    <w:p w14:paraId="6D9C3A31"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Mając powyższe na uwadze, prosimy o potwierdzenie, że zapis „tego samego typu" należy interpretować jako zgodność funkcjonalną i parametryczną (czas pracy, kompatybilność z systemem monitorowania), a nie jako tożsamość chemiczną ogniwa, oraz że Zamawiający akceptuje rekomendowane zastosowanie opraw w technologii LiFePO4.</w:t>
      </w:r>
    </w:p>
    <w:p w14:paraId="3C204644" w14:textId="1D716C54" w:rsidR="00B2111F" w:rsidRPr="00E649E1" w:rsidRDefault="00B2111F" w:rsidP="00B2111F">
      <w:pPr>
        <w:rPr>
          <w:rFonts w:asciiTheme="minorHAnsi" w:hAnsiTheme="minorHAnsi" w:cstheme="minorHAnsi"/>
          <w:sz w:val="22"/>
          <w:szCs w:val="22"/>
        </w:rPr>
      </w:pPr>
    </w:p>
    <w:p w14:paraId="4C5711E8" w14:textId="77777777" w:rsidR="00C5272A" w:rsidRPr="00E649E1" w:rsidRDefault="00AC5A9D" w:rsidP="00C5272A">
      <w:pPr>
        <w:rPr>
          <w:rFonts w:asciiTheme="minorHAnsi" w:hAnsiTheme="minorHAnsi" w:cstheme="minorHAnsi"/>
          <w:sz w:val="22"/>
          <w:szCs w:val="22"/>
        </w:rPr>
      </w:pPr>
      <w:r w:rsidRPr="00E649E1">
        <w:rPr>
          <w:rFonts w:asciiTheme="minorHAnsi" w:hAnsiTheme="minorHAnsi" w:cstheme="minorHAnsi"/>
          <w:b/>
          <w:sz w:val="22"/>
          <w:szCs w:val="22"/>
        </w:rPr>
        <w:t>Odpowiedź:</w:t>
      </w:r>
      <w:r w:rsidR="00B2111F" w:rsidRPr="00E649E1">
        <w:rPr>
          <w:rFonts w:asciiTheme="minorHAnsi" w:hAnsiTheme="minorHAnsi" w:cstheme="minorHAnsi"/>
          <w:b/>
          <w:sz w:val="22"/>
          <w:szCs w:val="22"/>
        </w:rPr>
        <w:t xml:space="preserve"> </w:t>
      </w:r>
      <w:r w:rsidR="00C5272A" w:rsidRPr="00E649E1">
        <w:rPr>
          <w:rFonts w:asciiTheme="minorHAnsi" w:hAnsiTheme="minorHAnsi" w:cstheme="minorHAnsi"/>
          <w:sz w:val="22"/>
          <w:szCs w:val="22"/>
        </w:rPr>
        <w:t>Przychylam się do sugestii oferenta w zakresie przyjęcia standardów akumulatorów w technologii LiFePO4 jako standardu stosowanego w wymienianych oprawach awaryjnych i ewakuacyjnych.</w:t>
      </w:r>
    </w:p>
    <w:p w14:paraId="03B638EB" w14:textId="4356BD55" w:rsidR="00AC5A9D" w:rsidRPr="00E649E1" w:rsidRDefault="00AC5A9D" w:rsidP="001314CA">
      <w:pPr>
        <w:spacing w:line="276" w:lineRule="auto"/>
        <w:jc w:val="both"/>
        <w:rPr>
          <w:rFonts w:asciiTheme="minorHAnsi" w:hAnsiTheme="minorHAnsi" w:cstheme="minorHAnsi"/>
          <w:b/>
          <w:sz w:val="22"/>
          <w:szCs w:val="22"/>
        </w:rPr>
      </w:pPr>
    </w:p>
    <w:p w14:paraId="59300208" w14:textId="21CAC0D4" w:rsidR="00B2111F" w:rsidRPr="00E649E1" w:rsidRDefault="00B2111F" w:rsidP="001314CA">
      <w:pPr>
        <w:spacing w:line="276" w:lineRule="auto"/>
        <w:jc w:val="both"/>
        <w:rPr>
          <w:rFonts w:asciiTheme="minorHAnsi" w:hAnsiTheme="minorHAnsi" w:cstheme="minorHAnsi"/>
          <w:b/>
          <w:sz w:val="22"/>
          <w:szCs w:val="22"/>
        </w:rPr>
      </w:pPr>
    </w:p>
    <w:p w14:paraId="037A23C1" w14:textId="77777777" w:rsidR="00C5272A" w:rsidRPr="00E649E1" w:rsidRDefault="00B2111F" w:rsidP="00C5272A">
      <w:pPr>
        <w:pStyle w:val="xmsonormal"/>
        <w:shd w:val="clear" w:color="auto" w:fill="FFFFFF"/>
        <w:spacing w:before="0" w:beforeAutospacing="0" w:after="0" w:afterAutospacing="0"/>
        <w:rPr>
          <w:rFonts w:asciiTheme="minorHAnsi" w:hAnsiTheme="minorHAnsi" w:cstheme="minorHAnsi"/>
          <w:color w:val="242424"/>
          <w:sz w:val="22"/>
          <w:szCs w:val="22"/>
        </w:rPr>
      </w:pPr>
      <w:r w:rsidRPr="00E649E1">
        <w:rPr>
          <w:rFonts w:asciiTheme="minorHAnsi" w:hAnsiTheme="minorHAnsi" w:cstheme="minorHAnsi"/>
          <w:b/>
          <w:sz w:val="22"/>
          <w:szCs w:val="22"/>
        </w:rPr>
        <w:t xml:space="preserve">Pytanie 2: </w:t>
      </w:r>
      <w:r w:rsidR="00C5272A" w:rsidRPr="00E649E1">
        <w:rPr>
          <w:rFonts w:asciiTheme="minorHAnsi" w:hAnsiTheme="minorHAnsi" w:cstheme="minorHAnsi"/>
          <w:color w:val="1F497D"/>
          <w:sz w:val="22"/>
          <w:szCs w:val="22"/>
          <w:bdr w:val="none" w:sz="0" w:space="0" w:color="auto" w:frame="1"/>
        </w:rPr>
        <w:t xml:space="preserve">W Załączniku nr 1 do OPZ, dla Budynku nr 5, wskazano konieczność wymiany czterech opraw typu IF2ACS/1W/B/1/SE/AT/GR na oprawy „analogiczne, zapewniające komunikację z systemem </w:t>
      </w:r>
      <w:proofErr w:type="spellStart"/>
      <w:r w:rsidR="00C5272A" w:rsidRPr="00E649E1">
        <w:rPr>
          <w:rFonts w:asciiTheme="minorHAnsi" w:hAnsiTheme="minorHAnsi" w:cstheme="minorHAnsi"/>
          <w:color w:val="1F497D"/>
          <w:sz w:val="22"/>
          <w:szCs w:val="22"/>
          <w:bdr w:val="none" w:sz="0" w:space="0" w:color="auto" w:frame="1"/>
        </w:rPr>
        <w:t>Rubic</w:t>
      </w:r>
      <w:proofErr w:type="spellEnd"/>
      <w:r w:rsidR="00C5272A" w:rsidRPr="00E649E1">
        <w:rPr>
          <w:rFonts w:asciiTheme="minorHAnsi" w:hAnsiTheme="minorHAnsi" w:cstheme="minorHAnsi"/>
          <w:color w:val="1F497D"/>
          <w:sz w:val="22"/>
          <w:szCs w:val="22"/>
          <w:bdr w:val="none" w:sz="0" w:space="0" w:color="auto" w:frame="1"/>
        </w:rPr>
        <w:t xml:space="preserve"> UNA".</w:t>
      </w:r>
    </w:p>
    <w:p w14:paraId="7FBA4CFF"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 xml:space="preserve">Zwracamy uwagę, że istniejące oprawy posiadają funkcję </w:t>
      </w:r>
      <w:proofErr w:type="spellStart"/>
      <w:r w:rsidRPr="00C5272A">
        <w:rPr>
          <w:rFonts w:asciiTheme="minorHAnsi" w:hAnsiTheme="minorHAnsi" w:cstheme="minorHAnsi"/>
          <w:color w:val="1F497D"/>
          <w:sz w:val="22"/>
          <w:szCs w:val="22"/>
          <w:bdr w:val="none" w:sz="0" w:space="0" w:color="auto" w:frame="1"/>
        </w:rPr>
        <w:t>autotestu</w:t>
      </w:r>
      <w:proofErr w:type="spellEnd"/>
      <w:r w:rsidRPr="00C5272A">
        <w:rPr>
          <w:rFonts w:asciiTheme="minorHAnsi" w:hAnsiTheme="minorHAnsi" w:cstheme="minorHAnsi"/>
          <w:color w:val="1F497D"/>
          <w:sz w:val="22"/>
          <w:szCs w:val="22"/>
          <w:bdr w:val="none" w:sz="0" w:space="0" w:color="auto" w:frame="1"/>
        </w:rPr>
        <w:t xml:space="preserve"> (oznaczenie „AT" — oprawa </w:t>
      </w:r>
      <w:proofErr w:type="spellStart"/>
      <w:r w:rsidRPr="00C5272A">
        <w:rPr>
          <w:rFonts w:asciiTheme="minorHAnsi" w:hAnsiTheme="minorHAnsi" w:cstheme="minorHAnsi"/>
          <w:color w:val="1F497D"/>
          <w:sz w:val="22"/>
          <w:szCs w:val="22"/>
          <w:bdr w:val="none" w:sz="0" w:space="0" w:color="auto" w:frame="1"/>
        </w:rPr>
        <w:t>autotestowa</w:t>
      </w:r>
      <w:proofErr w:type="spellEnd"/>
      <w:r w:rsidRPr="00C5272A">
        <w:rPr>
          <w:rFonts w:asciiTheme="minorHAnsi" w:hAnsiTheme="minorHAnsi" w:cstheme="minorHAnsi"/>
          <w:color w:val="1F497D"/>
          <w:sz w:val="22"/>
          <w:szCs w:val="22"/>
          <w:bdr w:val="none" w:sz="0" w:space="0" w:color="auto" w:frame="1"/>
        </w:rPr>
        <w:t xml:space="preserve">, pracująca autonomicznie). Oprawa w wersji </w:t>
      </w:r>
      <w:proofErr w:type="spellStart"/>
      <w:r w:rsidRPr="00C5272A">
        <w:rPr>
          <w:rFonts w:asciiTheme="minorHAnsi" w:hAnsiTheme="minorHAnsi" w:cstheme="minorHAnsi"/>
          <w:color w:val="1F497D"/>
          <w:sz w:val="22"/>
          <w:szCs w:val="22"/>
          <w:bdr w:val="none" w:sz="0" w:space="0" w:color="auto" w:frame="1"/>
        </w:rPr>
        <w:t>autotestowej</w:t>
      </w:r>
      <w:proofErr w:type="spellEnd"/>
      <w:r w:rsidRPr="00C5272A">
        <w:rPr>
          <w:rFonts w:asciiTheme="minorHAnsi" w:hAnsiTheme="minorHAnsi" w:cstheme="minorHAnsi"/>
          <w:color w:val="1F497D"/>
          <w:sz w:val="22"/>
          <w:szCs w:val="22"/>
          <w:bdr w:val="none" w:sz="0" w:space="0" w:color="auto" w:frame="1"/>
        </w:rPr>
        <w:t xml:space="preserve"> z definicji realizuje testy we </w:t>
      </w:r>
      <w:r w:rsidRPr="00C5272A">
        <w:rPr>
          <w:rFonts w:asciiTheme="minorHAnsi" w:hAnsiTheme="minorHAnsi" w:cstheme="minorHAnsi"/>
          <w:color w:val="1F497D"/>
          <w:sz w:val="22"/>
          <w:szCs w:val="22"/>
          <w:bdr w:val="none" w:sz="0" w:space="0" w:color="auto" w:frame="1"/>
        </w:rPr>
        <w:lastRenderedPageBreak/>
        <w:t xml:space="preserve">własnym zakresie i nie komunikuje się z centralą monitorującą, natomiast oprawa przeznaczona do pracy w systemie </w:t>
      </w:r>
      <w:proofErr w:type="spellStart"/>
      <w:r w:rsidRPr="00C5272A">
        <w:rPr>
          <w:rFonts w:asciiTheme="minorHAnsi" w:hAnsiTheme="minorHAnsi" w:cstheme="minorHAnsi"/>
          <w:color w:val="1F497D"/>
          <w:sz w:val="22"/>
          <w:szCs w:val="22"/>
          <w:bdr w:val="none" w:sz="0" w:space="0" w:color="auto" w:frame="1"/>
        </w:rPr>
        <w:t>Rubic</w:t>
      </w:r>
      <w:proofErr w:type="spellEnd"/>
      <w:r w:rsidRPr="00C5272A">
        <w:rPr>
          <w:rFonts w:asciiTheme="minorHAnsi" w:hAnsiTheme="minorHAnsi" w:cstheme="minorHAnsi"/>
          <w:color w:val="1F497D"/>
          <w:sz w:val="22"/>
          <w:szCs w:val="22"/>
          <w:bdr w:val="none" w:sz="0" w:space="0" w:color="auto" w:frame="1"/>
        </w:rPr>
        <w:t xml:space="preserve"> UNA (adresowalna, monitorowana centralnie) nie jest oprawą „analogiczną" względem istniejącej.</w:t>
      </w:r>
    </w:p>
    <w:p w14:paraId="2928C115"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 xml:space="preserve">Wymagania „oprawa analogiczna" oraz „komunikacja z systemem </w:t>
      </w:r>
      <w:proofErr w:type="spellStart"/>
      <w:r w:rsidRPr="00C5272A">
        <w:rPr>
          <w:rFonts w:asciiTheme="minorHAnsi" w:hAnsiTheme="minorHAnsi" w:cstheme="minorHAnsi"/>
          <w:color w:val="1F497D"/>
          <w:sz w:val="22"/>
          <w:szCs w:val="22"/>
          <w:bdr w:val="none" w:sz="0" w:space="0" w:color="auto" w:frame="1"/>
        </w:rPr>
        <w:t>Rubic</w:t>
      </w:r>
      <w:proofErr w:type="spellEnd"/>
      <w:r w:rsidRPr="00C5272A">
        <w:rPr>
          <w:rFonts w:asciiTheme="minorHAnsi" w:hAnsiTheme="minorHAnsi" w:cstheme="minorHAnsi"/>
          <w:color w:val="1F497D"/>
          <w:sz w:val="22"/>
          <w:szCs w:val="22"/>
          <w:bdr w:val="none" w:sz="0" w:space="0" w:color="auto" w:frame="1"/>
        </w:rPr>
        <w:t xml:space="preserve"> UNA" wykluczają się wzajemnie. Prosimy o jednoznaczne wskazanie, które z wymagań jest wiążące: czy należy dostarczyć oprawy analogiczne (</w:t>
      </w:r>
      <w:proofErr w:type="spellStart"/>
      <w:r w:rsidRPr="00C5272A">
        <w:rPr>
          <w:rFonts w:asciiTheme="minorHAnsi" w:hAnsiTheme="minorHAnsi" w:cstheme="minorHAnsi"/>
          <w:color w:val="1F497D"/>
          <w:sz w:val="22"/>
          <w:szCs w:val="22"/>
          <w:bdr w:val="none" w:sz="0" w:space="0" w:color="auto" w:frame="1"/>
        </w:rPr>
        <w:t>autotestowe</w:t>
      </w:r>
      <w:proofErr w:type="spellEnd"/>
      <w:r w:rsidRPr="00C5272A">
        <w:rPr>
          <w:rFonts w:asciiTheme="minorHAnsi" w:hAnsiTheme="minorHAnsi" w:cstheme="minorHAnsi"/>
          <w:color w:val="1F497D"/>
          <w:sz w:val="22"/>
          <w:szCs w:val="22"/>
          <w:bdr w:val="none" w:sz="0" w:space="0" w:color="auto" w:frame="1"/>
        </w:rPr>
        <w:t xml:space="preserve">, bez komunikacji z centralą), czy oprawy adresowalne, w pełni komunikujące się z systemem </w:t>
      </w:r>
      <w:proofErr w:type="spellStart"/>
      <w:r w:rsidRPr="00C5272A">
        <w:rPr>
          <w:rFonts w:asciiTheme="minorHAnsi" w:hAnsiTheme="minorHAnsi" w:cstheme="minorHAnsi"/>
          <w:color w:val="1F497D"/>
          <w:sz w:val="22"/>
          <w:szCs w:val="22"/>
          <w:bdr w:val="none" w:sz="0" w:space="0" w:color="auto" w:frame="1"/>
        </w:rPr>
        <w:t>Rubic</w:t>
      </w:r>
      <w:proofErr w:type="spellEnd"/>
      <w:r w:rsidRPr="00C5272A">
        <w:rPr>
          <w:rFonts w:asciiTheme="minorHAnsi" w:hAnsiTheme="minorHAnsi" w:cstheme="minorHAnsi"/>
          <w:color w:val="1F497D"/>
          <w:sz w:val="22"/>
          <w:szCs w:val="22"/>
          <w:bdr w:val="none" w:sz="0" w:space="0" w:color="auto" w:frame="1"/>
        </w:rPr>
        <w:t xml:space="preserve"> UNA (co oznacza odejście od rozwiązania analogicznego)?</w:t>
      </w:r>
    </w:p>
    <w:p w14:paraId="1B841294" w14:textId="6DA1E950" w:rsidR="00C5272A" w:rsidRPr="00E649E1" w:rsidRDefault="00C5272A" w:rsidP="00C5272A">
      <w:pPr>
        <w:shd w:val="clear" w:color="auto" w:fill="FFFFFF"/>
        <w:rPr>
          <w:rFonts w:asciiTheme="minorHAnsi" w:hAnsiTheme="minorHAnsi" w:cstheme="minorHAnsi"/>
          <w:color w:val="1F497D"/>
          <w:sz w:val="22"/>
          <w:szCs w:val="22"/>
          <w:bdr w:val="none" w:sz="0" w:space="0" w:color="auto" w:frame="1"/>
        </w:rPr>
      </w:pPr>
      <w:r w:rsidRPr="00C5272A">
        <w:rPr>
          <w:rFonts w:asciiTheme="minorHAnsi" w:hAnsiTheme="minorHAnsi" w:cstheme="minorHAnsi"/>
          <w:color w:val="1F497D"/>
          <w:sz w:val="22"/>
          <w:szCs w:val="22"/>
          <w:bdr w:val="none" w:sz="0" w:space="0" w:color="auto" w:frame="1"/>
        </w:rPr>
        <w:t xml:space="preserve">Ponadto, w przypadku wskazania przez Zamawiającego wariantu z oprawami komunikującymi się z systemem </w:t>
      </w:r>
      <w:proofErr w:type="spellStart"/>
      <w:r w:rsidRPr="00C5272A">
        <w:rPr>
          <w:rFonts w:asciiTheme="minorHAnsi" w:hAnsiTheme="minorHAnsi" w:cstheme="minorHAnsi"/>
          <w:color w:val="1F497D"/>
          <w:sz w:val="22"/>
          <w:szCs w:val="22"/>
          <w:bdr w:val="none" w:sz="0" w:space="0" w:color="auto" w:frame="1"/>
        </w:rPr>
        <w:t>Rubic</w:t>
      </w:r>
      <w:proofErr w:type="spellEnd"/>
      <w:r w:rsidRPr="00C5272A">
        <w:rPr>
          <w:rFonts w:asciiTheme="minorHAnsi" w:hAnsiTheme="minorHAnsi" w:cstheme="minorHAnsi"/>
          <w:color w:val="1F497D"/>
          <w:sz w:val="22"/>
          <w:szCs w:val="22"/>
          <w:bdr w:val="none" w:sz="0" w:space="0" w:color="auto" w:frame="1"/>
        </w:rPr>
        <w:t xml:space="preserve"> UNA, prosimy o informację, czy Zamawiający dysponuje schematem (rysunkiem) trasy kablowej magistrali komunikacyjnej, jaką należy wykonać w celu podłączenia opraw do centrali, oraz o jego udostępnienie. Informacja ta jest niezbędna do prawidłowego określenia zakresu instalacji i rzetelnej wyceny.</w:t>
      </w:r>
    </w:p>
    <w:p w14:paraId="77809779" w14:textId="77777777" w:rsidR="00C5272A" w:rsidRPr="00C5272A" w:rsidRDefault="00C5272A" w:rsidP="00C5272A">
      <w:pPr>
        <w:shd w:val="clear" w:color="auto" w:fill="FFFFFF"/>
        <w:rPr>
          <w:rFonts w:asciiTheme="minorHAnsi" w:hAnsiTheme="minorHAnsi" w:cstheme="minorHAnsi"/>
          <w:color w:val="242424"/>
          <w:sz w:val="22"/>
          <w:szCs w:val="22"/>
        </w:rPr>
      </w:pPr>
    </w:p>
    <w:p w14:paraId="70D89743" w14:textId="77777777" w:rsidR="00C5272A" w:rsidRPr="00E649E1" w:rsidRDefault="00B2111F" w:rsidP="00C5272A">
      <w:pPr>
        <w:rPr>
          <w:rFonts w:asciiTheme="minorHAnsi" w:hAnsiTheme="minorHAnsi" w:cstheme="minorHAnsi"/>
          <w:sz w:val="22"/>
          <w:szCs w:val="22"/>
        </w:rPr>
      </w:pPr>
      <w:r w:rsidRPr="00E649E1">
        <w:rPr>
          <w:rFonts w:asciiTheme="minorHAnsi" w:hAnsiTheme="minorHAnsi" w:cstheme="minorHAnsi"/>
          <w:b/>
          <w:sz w:val="22"/>
          <w:szCs w:val="22"/>
        </w:rPr>
        <w:t xml:space="preserve">Odpowiedź: </w:t>
      </w:r>
      <w:r w:rsidR="00C5272A" w:rsidRPr="00E649E1">
        <w:rPr>
          <w:rFonts w:asciiTheme="minorHAnsi" w:hAnsiTheme="minorHAnsi" w:cstheme="minorHAnsi"/>
          <w:sz w:val="22"/>
          <w:szCs w:val="22"/>
        </w:rPr>
        <w:t xml:space="preserve">W związku z przedstawioną informacją dotyczącą sposobu działania oprawy awaryjnej wykonanej w standardzie komunikacji z jednostką </w:t>
      </w:r>
      <w:proofErr w:type="spellStart"/>
      <w:r w:rsidR="00C5272A" w:rsidRPr="00E649E1">
        <w:rPr>
          <w:rFonts w:asciiTheme="minorHAnsi" w:hAnsiTheme="minorHAnsi" w:cstheme="minorHAnsi"/>
          <w:sz w:val="22"/>
          <w:szCs w:val="22"/>
        </w:rPr>
        <w:t>Rubic</w:t>
      </w:r>
      <w:proofErr w:type="spellEnd"/>
      <w:r w:rsidR="00C5272A" w:rsidRPr="00E649E1">
        <w:rPr>
          <w:rFonts w:asciiTheme="minorHAnsi" w:hAnsiTheme="minorHAnsi" w:cstheme="minorHAnsi"/>
          <w:sz w:val="22"/>
          <w:szCs w:val="22"/>
        </w:rPr>
        <w:t xml:space="preserve"> UNA należy wymieniane oprawy podłączyć do istniejącej centralki systemu </w:t>
      </w:r>
      <w:proofErr w:type="spellStart"/>
      <w:r w:rsidR="00C5272A" w:rsidRPr="00E649E1">
        <w:rPr>
          <w:rFonts w:asciiTheme="minorHAnsi" w:hAnsiTheme="minorHAnsi" w:cstheme="minorHAnsi"/>
          <w:sz w:val="22"/>
          <w:szCs w:val="22"/>
        </w:rPr>
        <w:t>Rubic</w:t>
      </w:r>
      <w:proofErr w:type="spellEnd"/>
      <w:r w:rsidR="00C5272A" w:rsidRPr="00E649E1">
        <w:rPr>
          <w:rFonts w:asciiTheme="minorHAnsi" w:hAnsiTheme="minorHAnsi" w:cstheme="minorHAnsi"/>
          <w:sz w:val="22"/>
          <w:szCs w:val="22"/>
        </w:rPr>
        <w:t xml:space="preserve"> UNA zlokalizowanej na 2 piętrze. Do odpowiedzi załączona jest dokumentacja z sugerowaną trasą magistrali komunikacyjnej, którą należałoby uwzględnić w wykonaniu połączenia (B5 - oprawy). Magistralę należy ułożyć w rurce osłonowej.</w:t>
      </w:r>
    </w:p>
    <w:p w14:paraId="0F9EA265" w14:textId="402FDDE6" w:rsidR="00B2111F" w:rsidRPr="00E649E1" w:rsidRDefault="00B2111F" w:rsidP="00B2111F">
      <w:pPr>
        <w:rPr>
          <w:rFonts w:asciiTheme="minorHAnsi" w:hAnsiTheme="minorHAnsi" w:cstheme="minorHAnsi"/>
          <w:sz w:val="22"/>
          <w:szCs w:val="22"/>
        </w:rPr>
      </w:pPr>
    </w:p>
    <w:p w14:paraId="1532B44F" w14:textId="553BF764" w:rsidR="00B2111F" w:rsidRPr="00E649E1" w:rsidRDefault="00B2111F" w:rsidP="00B2111F">
      <w:pPr>
        <w:rPr>
          <w:rFonts w:asciiTheme="minorHAnsi" w:hAnsiTheme="minorHAnsi" w:cstheme="minorHAnsi"/>
          <w:sz w:val="22"/>
          <w:szCs w:val="22"/>
        </w:rPr>
      </w:pPr>
    </w:p>
    <w:p w14:paraId="3E4D0379" w14:textId="77777777" w:rsidR="00C5272A" w:rsidRPr="00E649E1" w:rsidRDefault="00B2111F" w:rsidP="00C5272A">
      <w:pPr>
        <w:pStyle w:val="xmsonormal"/>
        <w:shd w:val="clear" w:color="auto" w:fill="FFFFFF"/>
        <w:spacing w:before="0" w:beforeAutospacing="0" w:after="0" w:afterAutospacing="0"/>
        <w:rPr>
          <w:rFonts w:asciiTheme="minorHAnsi" w:hAnsiTheme="minorHAnsi" w:cstheme="minorHAnsi"/>
          <w:color w:val="242424"/>
          <w:sz w:val="22"/>
          <w:szCs w:val="22"/>
        </w:rPr>
      </w:pPr>
      <w:r w:rsidRPr="00E649E1">
        <w:rPr>
          <w:rFonts w:asciiTheme="minorHAnsi" w:hAnsiTheme="minorHAnsi" w:cstheme="minorHAnsi"/>
          <w:b/>
          <w:bCs/>
          <w:sz w:val="22"/>
          <w:szCs w:val="22"/>
        </w:rPr>
        <w:t>Pytanie 3</w:t>
      </w:r>
      <w:r w:rsidRPr="00E649E1">
        <w:rPr>
          <w:rFonts w:asciiTheme="minorHAnsi" w:hAnsiTheme="minorHAnsi" w:cstheme="minorHAnsi"/>
          <w:sz w:val="22"/>
          <w:szCs w:val="22"/>
        </w:rPr>
        <w:t xml:space="preserve">: </w:t>
      </w:r>
      <w:r w:rsidR="00C5272A" w:rsidRPr="00E649E1">
        <w:rPr>
          <w:rFonts w:asciiTheme="minorHAnsi" w:hAnsiTheme="minorHAnsi" w:cstheme="minorHAnsi"/>
          <w:color w:val="1F497D"/>
          <w:sz w:val="22"/>
          <w:szCs w:val="22"/>
          <w:bdr w:val="none" w:sz="0" w:space="0" w:color="auto" w:frame="1"/>
        </w:rPr>
        <w:t xml:space="preserve">Dla Zakładu Symulacji Medycznych (Załącznik nr 1 do OPZ) wskazano wymóg zastosowania opraw z możliwością monitorowania za pomocą systemu </w:t>
      </w:r>
      <w:proofErr w:type="spellStart"/>
      <w:r w:rsidR="00C5272A" w:rsidRPr="00E649E1">
        <w:rPr>
          <w:rFonts w:asciiTheme="minorHAnsi" w:hAnsiTheme="minorHAnsi" w:cstheme="minorHAnsi"/>
          <w:color w:val="1F497D"/>
          <w:sz w:val="22"/>
          <w:szCs w:val="22"/>
          <w:bdr w:val="none" w:sz="0" w:space="0" w:color="auto" w:frame="1"/>
        </w:rPr>
        <w:t>Rubic</w:t>
      </w:r>
      <w:proofErr w:type="spellEnd"/>
      <w:r w:rsidR="00C5272A" w:rsidRPr="00E649E1">
        <w:rPr>
          <w:rFonts w:asciiTheme="minorHAnsi" w:hAnsiTheme="minorHAnsi" w:cstheme="minorHAnsi"/>
          <w:color w:val="1F497D"/>
          <w:sz w:val="22"/>
          <w:szCs w:val="22"/>
          <w:bdr w:val="none" w:sz="0" w:space="0" w:color="auto" w:frame="1"/>
        </w:rPr>
        <w:t xml:space="preserve"> UNA. Jednocześnie z Opisu Przedmiotu Zamówienia wynika, że na tym obiekcie system centralnego monitorowania (centrala </w:t>
      </w:r>
      <w:proofErr w:type="spellStart"/>
      <w:r w:rsidR="00C5272A" w:rsidRPr="00E649E1">
        <w:rPr>
          <w:rFonts w:asciiTheme="minorHAnsi" w:hAnsiTheme="minorHAnsi" w:cstheme="minorHAnsi"/>
          <w:color w:val="1F497D"/>
          <w:sz w:val="22"/>
          <w:szCs w:val="22"/>
          <w:bdr w:val="none" w:sz="0" w:space="0" w:color="auto" w:frame="1"/>
        </w:rPr>
        <w:t>Rubic</w:t>
      </w:r>
      <w:proofErr w:type="spellEnd"/>
      <w:r w:rsidR="00C5272A" w:rsidRPr="00E649E1">
        <w:rPr>
          <w:rFonts w:asciiTheme="minorHAnsi" w:hAnsiTheme="minorHAnsi" w:cstheme="minorHAnsi"/>
          <w:color w:val="1F497D"/>
          <w:sz w:val="22"/>
          <w:szCs w:val="22"/>
          <w:bdr w:val="none" w:sz="0" w:space="0" w:color="auto" w:frame="1"/>
        </w:rPr>
        <w:t xml:space="preserve"> UNA) obecnie nie występuje.</w:t>
      </w:r>
    </w:p>
    <w:p w14:paraId="2B8AFFEA"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W związku z powyższym prosimy o wyjaśnienie:</w:t>
      </w:r>
    </w:p>
    <w:p w14:paraId="0E888E60"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a) Czy Zamawiający akceptuje sytuację, w której zamontowane oprawy — z uwagi na brak centrali na obiekcie — będą sygnalizowały brak komunikacji z systemem monitorującym i nie będą realizowały automatycznego testowania, do czasu ewentualnego wybudowania centrali? Czy też przedmiot zamówienia obejmuje również dostawę i uruchomienie centrali monitorującej?</w:t>
      </w:r>
    </w:p>
    <w:p w14:paraId="27CAAE9A"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b) Czy oprawy mają pracować w systemie przewodowym, czy bezprzewodowym?</w:t>
      </w:r>
    </w:p>
    <w:p w14:paraId="2599067D"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c) W przypadku wskazania systemu przewodowego — czy Zamawiający określa lokalizację przyszłej centrali oraz czy zakres zamówienia obejmuje wykonanie nowej magistrali komunikacyjnej (instalacji komunikacyjnej) doprowadzonej do tej lokalizacji? Prosimy o wskazanie zakresu i trasy tej instalacji niezbędnego do prawidłowej wyceny.</w:t>
      </w:r>
    </w:p>
    <w:p w14:paraId="7A9ABA41"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 </w:t>
      </w:r>
    </w:p>
    <w:p w14:paraId="33A1374C" w14:textId="1CE84F72" w:rsidR="00B2111F" w:rsidRPr="00E649E1" w:rsidRDefault="00B2111F" w:rsidP="00B2111F">
      <w:pPr>
        <w:rPr>
          <w:rFonts w:asciiTheme="minorHAnsi" w:hAnsiTheme="minorHAnsi" w:cstheme="minorHAnsi"/>
          <w:sz w:val="22"/>
          <w:szCs w:val="22"/>
        </w:rPr>
      </w:pPr>
    </w:p>
    <w:p w14:paraId="6BC7AE15" w14:textId="77777777" w:rsidR="00C5272A" w:rsidRPr="00E649E1" w:rsidRDefault="00B2111F" w:rsidP="00C5272A">
      <w:pPr>
        <w:pStyle w:val="NormalnyWeb"/>
        <w:shd w:val="clear" w:color="auto" w:fill="FFFFFF"/>
        <w:rPr>
          <w:rFonts w:asciiTheme="minorHAnsi" w:eastAsia="Times New Roman" w:hAnsiTheme="minorHAnsi" w:cstheme="minorHAnsi"/>
          <w:color w:val="242424"/>
          <w:sz w:val="22"/>
          <w:szCs w:val="22"/>
        </w:rPr>
      </w:pPr>
      <w:r w:rsidRPr="00E649E1">
        <w:rPr>
          <w:rFonts w:asciiTheme="minorHAnsi" w:hAnsiTheme="minorHAnsi" w:cstheme="minorHAnsi"/>
          <w:b/>
          <w:bCs/>
          <w:sz w:val="22"/>
          <w:szCs w:val="22"/>
        </w:rPr>
        <w:t>Odpowiedź:</w:t>
      </w:r>
      <w:r w:rsidRPr="00E649E1">
        <w:rPr>
          <w:rFonts w:asciiTheme="minorHAnsi" w:hAnsiTheme="minorHAnsi" w:cstheme="minorHAnsi"/>
          <w:sz w:val="22"/>
          <w:szCs w:val="22"/>
        </w:rPr>
        <w:t xml:space="preserve"> </w:t>
      </w:r>
      <w:r w:rsidR="00C5272A" w:rsidRPr="00E649E1">
        <w:rPr>
          <w:rFonts w:asciiTheme="minorHAnsi" w:eastAsia="Times New Roman" w:hAnsiTheme="minorHAnsi" w:cstheme="minorHAnsi"/>
          <w:color w:val="242424"/>
          <w:sz w:val="22"/>
          <w:szCs w:val="22"/>
        </w:rPr>
        <w:t xml:space="preserve">a) Należy uwzględnić dostawę i montaż centralki monitorowania opraw awaryjnych wskazanych do zastosowania i dołączyć ją do istniejącego systemu </w:t>
      </w:r>
      <w:proofErr w:type="spellStart"/>
      <w:r w:rsidR="00C5272A" w:rsidRPr="00E649E1">
        <w:rPr>
          <w:rFonts w:asciiTheme="minorHAnsi" w:eastAsia="Times New Roman" w:hAnsiTheme="minorHAnsi" w:cstheme="minorHAnsi"/>
          <w:color w:val="242424"/>
          <w:sz w:val="22"/>
          <w:szCs w:val="22"/>
        </w:rPr>
        <w:t>Awex</w:t>
      </w:r>
      <w:proofErr w:type="spellEnd"/>
      <w:r w:rsidR="00C5272A" w:rsidRPr="00E649E1">
        <w:rPr>
          <w:rFonts w:asciiTheme="minorHAnsi" w:eastAsia="Times New Roman" w:hAnsiTheme="minorHAnsi" w:cstheme="minorHAnsi"/>
          <w:color w:val="242424"/>
          <w:sz w:val="22"/>
          <w:szCs w:val="22"/>
        </w:rPr>
        <w:t xml:space="preserve"> Smart Visio.</w:t>
      </w:r>
    </w:p>
    <w:p w14:paraId="666E3A69"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242424"/>
          <w:sz w:val="22"/>
          <w:szCs w:val="22"/>
        </w:rPr>
        <w:t>b) Brak wytycznych w tym zakresie. Zamawiający dopuszcza rozwiązanie, które Wykonawca uzna za bardziej uzasadnione ekonomicznie.</w:t>
      </w:r>
    </w:p>
    <w:p w14:paraId="2DC3C5CE"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242424"/>
          <w:sz w:val="22"/>
          <w:szCs w:val="22"/>
        </w:rPr>
        <w:t>c) W załączniku "CSM - centralka". Lokalizacja planowanej centralki monitorowania opraw awaryjnych jest w pomieszczeniu rozdzielni głównej. Trasy magistrali komunikacyjnej należy oszacować przyjmując układanie przewodów w przestrzeni podsufitowej w rurkach osłonowych. Dostarczane oprawy należy dołączyć do dostarczonej centralki.</w:t>
      </w:r>
    </w:p>
    <w:p w14:paraId="56037D2E" w14:textId="4A884CBF" w:rsidR="00B2111F" w:rsidRPr="00E649E1" w:rsidRDefault="00B2111F" w:rsidP="00B2111F">
      <w:pPr>
        <w:rPr>
          <w:rFonts w:asciiTheme="minorHAnsi" w:hAnsiTheme="minorHAnsi" w:cstheme="minorHAnsi"/>
          <w:sz w:val="22"/>
          <w:szCs w:val="22"/>
        </w:rPr>
      </w:pPr>
      <w:r w:rsidRPr="00E649E1">
        <w:rPr>
          <w:rFonts w:asciiTheme="minorHAnsi" w:hAnsiTheme="minorHAnsi" w:cstheme="minorHAnsi"/>
          <w:sz w:val="22"/>
          <w:szCs w:val="22"/>
        </w:rPr>
        <w:t>.</w:t>
      </w:r>
    </w:p>
    <w:p w14:paraId="5AEA4759" w14:textId="68C015FE" w:rsidR="00B2111F" w:rsidRPr="00E649E1" w:rsidRDefault="00B2111F" w:rsidP="00B2111F">
      <w:pPr>
        <w:rPr>
          <w:rFonts w:asciiTheme="minorHAnsi" w:hAnsiTheme="minorHAnsi" w:cstheme="minorHAnsi"/>
          <w:sz w:val="22"/>
          <w:szCs w:val="22"/>
        </w:rPr>
      </w:pPr>
    </w:p>
    <w:p w14:paraId="24932F05" w14:textId="77777777" w:rsidR="00C5272A" w:rsidRPr="00E649E1" w:rsidRDefault="00B2111F" w:rsidP="00C5272A">
      <w:pPr>
        <w:pStyle w:val="xmsonormal"/>
        <w:shd w:val="clear" w:color="auto" w:fill="FFFFFF"/>
        <w:spacing w:before="0" w:beforeAutospacing="0" w:after="0" w:afterAutospacing="0"/>
        <w:rPr>
          <w:rFonts w:asciiTheme="minorHAnsi" w:hAnsiTheme="minorHAnsi" w:cstheme="minorHAnsi"/>
          <w:color w:val="242424"/>
          <w:sz w:val="22"/>
          <w:szCs w:val="22"/>
        </w:rPr>
      </w:pPr>
      <w:r w:rsidRPr="00E649E1">
        <w:rPr>
          <w:rFonts w:asciiTheme="minorHAnsi" w:hAnsiTheme="minorHAnsi" w:cstheme="minorHAnsi"/>
          <w:b/>
          <w:bCs/>
          <w:sz w:val="22"/>
          <w:szCs w:val="22"/>
        </w:rPr>
        <w:lastRenderedPageBreak/>
        <w:t>Pytanie 4</w:t>
      </w:r>
      <w:r w:rsidRPr="00E649E1">
        <w:rPr>
          <w:rFonts w:asciiTheme="minorHAnsi" w:hAnsiTheme="minorHAnsi" w:cstheme="minorHAnsi"/>
          <w:sz w:val="22"/>
          <w:szCs w:val="22"/>
        </w:rPr>
        <w:t xml:space="preserve">: </w:t>
      </w:r>
      <w:r w:rsidR="00C5272A" w:rsidRPr="00E649E1">
        <w:rPr>
          <w:rFonts w:asciiTheme="minorHAnsi" w:hAnsiTheme="minorHAnsi" w:cstheme="minorHAnsi"/>
          <w:color w:val="1F497D"/>
          <w:sz w:val="22"/>
          <w:szCs w:val="22"/>
          <w:bdr w:val="none" w:sz="0" w:space="0" w:color="auto" w:frame="1"/>
        </w:rPr>
        <w:t xml:space="preserve">Analogicznie jak w pytaniu nr 3, dla Biblioteki Głównej (Załącznik nr 1 do OPZ) wskazano wymóg zastosowania opraw monitorowanych za pomocą systemu </w:t>
      </w:r>
      <w:proofErr w:type="spellStart"/>
      <w:r w:rsidR="00C5272A" w:rsidRPr="00E649E1">
        <w:rPr>
          <w:rFonts w:asciiTheme="minorHAnsi" w:hAnsiTheme="minorHAnsi" w:cstheme="minorHAnsi"/>
          <w:color w:val="1F497D"/>
          <w:sz w:val="22"/>
          <w:szCs w:val="22"/>
          <w:bdr w:val="none" w:sz="0" w:space="0" w:color="auto" w:frame="1"/>
        </w:rPr>
        <w:t>Rubic</w:t>
      </w:r>
      <w:proofErr w:type="spellEnd"/>
      <w:r w:rsidR="00C5272A" w:rsidRPr="00E649E1">
        <w:rPr>
          <w:rFonts w:asciiTheme="minorHAnsi" w:hAnsiTheme="minorHAnsi" w:cstheme="minorHAnsi"/>
          <w:color w:val="1F497D"/>
          <w:sz w:val="22"/>
          <w:szCs w:val="22"/>
          <w:bdr w:val="none" w:sz="0" w:space="0" w:color="auto" w:frame="1"/>
        </w:rPr>
        <w:t xml:space="preserve"> UNA, przy jednoczesnym braku centrali tego systemu na obiekcie. Prosimy o wyjaśnienie:</w:t>
      </w:r>
    </w:p>
    <w:p w14:paraId="3D7F8B03"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 xml:space="preserve">a) Czy Zamawiający akceptuje pracę zamontowanych opraw w stanie braku komunikacji z centralą (brak automatycznego testowania) do czasu wybudowania systemu, czy też zakres zamówienia obejmuje dostawę i uruchomienie centrali monitorującej </w:t>
      </w:r>
      <w:proofErr w:type="spellStart"/>
      <w:r w:rsidRPr="00C5272A">
        <w:rPr>
          <w:rFonts w:asciiTheme="minorHAnsi" w:hAnsiTheme="minorHAnsi" w:cstheme="minorHAnsi"/>
          <w:color w:val="1F497D"/>
          <w:sz w:val="22"/>
          <w:szCs w:val="22"/>
          <w:bdr w:val="none" w:sz="0" w:space="0" w:color="auto" w:frame="1"/>
        </w:rPr>
        <w:t>Rubic</w:t>
      </w:r>
      <w:proofErr w:type="spellEnd"/>
      <w:r w:rsidRPr="00C5272A">
        <w:rPr>
          <w:rFonts w:asciiTheme="minorHAnsi" w:hAnsiTheme="minorHAnsi" w:cstheme="minorHAnsi"/>
          <w:color w:val="1F497D"/>
          <w:sz w:val="22"/>
          <w:szCs w:val="22"/>
          <w:bdr w:val="none" w:sz="0" w:space="0" w:color="auto" w:frame="1"/>
        </w:rPr>
        <w:t xml:space="preserve"> UNA?</w:t>
      </w:r>
    </w:p>
    <w:p w14:paraId="6104D4C5"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b) Czy oprawy mają pracować w systemie przewodowym, czy bezprzewodowym?</w:t>
      </w:r>
    </w:p>
    <w:p w14:paraId="11636BE0" w14:textId="77777777" w:rsidR="00C5272A" w:rsidRPr="00C5272A" w:rsidRDefault="00C5272A" w:rsidP="00C5272A">
      <w:pPr>
        <w:shd w:val="clear" w:color="auto" w:fill="FFFFFF"/>
        <w:rPr>
          <w:rFonts w:asciiTheme="minorHAnsi" w:hAnsiTheme="minorHAnsi" w:cstheme="minorHAnsi"/>
          <w:color w:val="242424"/>
          <w:sz w:val="22"/>
          <w:szCs w:val="22"/>
        </w:rPr>
      </w:pPr>
      <w:r w:rsidRPr="00C5272A">
        <w:rPr>
          <w:rFonts w:asciiTheme="minorHAnsi" w:hAnsiTheme="minorHAnsi" w:cstheme="minorHAnsi"/>
          <w:color w:val="1F497D"/>
          <w:sz w:val="22"/>
          <w:szCs w:val="22"/>
          <w:bdr w:val="none" w:sz="0" w:space="0" w:color="auto" w:frame="1"/>
        </w:rPr>
        <w:t>c) W przypadku systemu przewodowego — prosimy o wskazanie lokalizacji przyszłej centrali oraz potwierdzenie, czy zakres zamówienia obejmuje wykonanie nowej magistrali komunikacyjnej do tej lokalizacji, wraz z określeniem jej zakresu i trasy niezbędnego do wyceny.</w:t>
      </w:r>
    </w:p>
    <w:p w14:paraId="3DEF44B1" w14:textId="2E2E2FD7" w:rsidR="00C5272A" w:rsidRPr="00E649E1" w:rsidRDefault="00C5272A" w:rsidP="00C5272A">
      <w:pPr>
        <w:rPr>
          <w:rFonts w:asciiTheme="minorHAnsi" w:hAnsiTheme="minorHAnsi" w:cstheme="minorHAnsi"/>
          <w:sz w:val="22"/>
          <w:szCs w:val="22"/>
        </w:rPr>
      </w:pPr>
    </w:p>
    <w:p w14:paraId="050D273A" w14:textId="1F2B1557" w:rsidR="00B2111F" w:rsidRPr="00E649E1" w:rsidRDefault="00B2111F" w:rsidP="00B2111F">
      <w:pPr>
        <w:rPr>
          <w:rFonts w:asciiTheme="minorHAnsi" w:hAnsiTheme="minorHAnsi" w:cstheme="minorHAnsi"/>
          <w:sz w:val="22"/>
          <w:szCs w:val="22"/>
        </w:rPr>
      </w:pPr>
    </w:p>
    <w:p w14:paraId="41B812C6" w14:textId="77777777" w:rsidR="00C5272A" w:rsidRPr="00E649E1" w:rsidRDefault="00B2111F" w:rsidP="00C5272A">
      <w:pPr>
        <w:rPr>
          <w:rFonts w:asciiTheme="minorHAnsi" w:hAnsiTheme="minorHAnsi" w:cstheme="minorHAnsi"/>
          <w:sz w:val="22"/>
          <w:szCs w:val="22"/>
        </w:rPr>
      </w:pPr>
      <w:r w:rsidRPr="00E649E1">
        <w:rPr>
          <w:rFonts w:asciiTheme="minorHAnsi" w:hAnsiTheme="minorHAnsi" w:cstheme="minorHAnsi"/>
          <w:b/>
          <w:bCs/>
          <w:sz w:val="22"/>
          <w:szCs w:val="22"/>
        </w:rPr>
        <w:t>Odpowiedź</w:t>
      </w:r>
      <w:r w:rsidRPr="00E649E1">
        <w:rPr>
          <w:rFonts w:asciiTheme="minorHAnsi" w:hAnsiTheme="minorHAnsi" w:cstheme="minorHAnsi"/>
          <w:sz w:val="22"/>
          <w:szCs w:val="22"/>
        </w:rPr>
        <w:t xml:space="preserve">: </w:t>
      </w:r>
      <w:r w:rsidR="00C5272A" w:rsidRPr="00E649E1">
        <w:rPr>
          <w:rFonts w:asciiTheme="minorHAnsi" w:hAnsiTheme="minorHAnsi" w:cstheme="minorHAnsi"/>
          <w:sz w:val="22"/>
          <w:szCs w:val="22"/>
        </w:rPr>
        <w:t xml:space="preserve">W związku ze brakiem możliwości wskazania na dzień dzisiejszy lokalizacji centrali monitorowania opraw awaryjnych zamawiający w zakresie instalacji oświetlenia awaryjnego w budynku biblioteki rezygnuje z wymogu zastosowania opraw awaryjnych komunikujących się z systemem </w:t>
      </w:r>
      <w:proofErr w:type="spellStart"/>
      <w:r w:rsidR="00C5272A" w:rsidRPr="00E649E1">
        <w:rPr>
          <w:rFonts w:asciiTheme="minorHAnsi" w:hAnsiTheme="minorHAnsi" w:cstheme="minorHAnsi"/>
          <w:sz w:val="22"/>
          <w:szCs w:val="22"/>
        </w:rPr>
        <w:t>Rubic</w:t>
      </w:r>
      <w:proofErr w:type="spellEnd"/>
      <w:r w:rsidR="00C5272A" w:rsidRPr="00E649E1">
        <w:rPr>
          <w:rFonts w:asciiTheme="minorHAnsi" w:hAnsiTheme="minorHAnsi" w:cstheme="minorHAnsi"/>
          <w:sz w:val="22"/>
          <w:szCs w:val="22"/>
        </w:rPr>
        <w:t xml:space="preserve"> UNA.</w:t>
      </w:r>
    </w:p>
    <w:p w14:paraId="614589A7" w14:textId="4DB4FB2A" w:rsidR="00B2111F" w:rsidRPr="00E649E1" w:rsidRDefault="00B2111F" w:rsidP="00B2111F">
      <w:pPr>
        <w:pStyle w:val="xmsonormal"/>
        <w:shd w:val="clear" w:color="auto" w:fill="FFFFFF"/>
        <w:spacing w:before="0" w:beforeAutospacing="0" w:after="0" w:afterAutospacing="0"/>
        <w:rPr>
          <w:rFonts w:asciiTheme="minorHAnsi" w:hAnsiTheme="minorHAnsi" w:cstheme="minorHAnsi"/>
          <w:color w:val="242424"/>
          <w:sz w:val="22"/>
          <w:szCs w:val="22"/>
        </w:rPr>
      </w:pPr>
    </w:p>
    <w:p w14:paraId="7A544946" w14:textId="53C8AD05" w:rsidR="00B2111F" w:rsidRPr="00E649E1" w:rsidRDefault="00B2111F" w:rsidP="001314CA">
      <w:pPr>
        <w:spacing w:line="276" w:lineRule="auto"/>
        <w:jc w:val="both"/>
        <w:rPr>
          <w:rFonts w:asciiTheme="minorHAnsi" w:hAnsiTheme="minorHAnsi" w:cstheme="minorHAnsi"/>
          <w:b/>
          <w:sz w:val="22"/>
          <w:szCs w:val="22"/>
        </w:rPr>
      </w:pPr>
    </w:p>
    <w:p w14:paraId="1868DDD2" w14:textId="0A127EF5" w:rsidR="00B2111F" w:rsidRPr="00E649E1" w:rsidRDefault="00B2111F" w:rsidP="001314CA">
      <w:pPr>
        <w:spacing w:line="276" w:lineRule="auto"/>
        <w:jc w:val="both"/>
        <w:rPr>
          <w:rFonts w:asciiTheme="minorHAnsi" w:hAnsiTheme="minorHAnsi" w:cstheme="minorHAnsi"/>
          <w:b/>
          <w:sz w:val="22"/>
          <w:szCs w:val="22"/>
        </w:rPr>
      </w:pPr>
    </w:p>
    <w:p w14:paraId="029D434A" w14:textId="2CA0BC2D" w:rsidR="00B2111F" w:rsidRPr="00E649E1" w:rsidRDefault="00F76543" w:rsidP="001314CA">
      <w:pPr>
        <w:spacing w:line="276" w:lineRule="auto"/>
        <w:jc w:val="both"/>
        <w:rPr>
          <w:rFonts w:asciiTheme="minorHAnsi" w:hAnsiTheme="minorHAnsi" w:cstheme="minorHAnsi"/>
          <w:sz w:val="22"/>
          <w:szCs w:val="22"/>
        </w:rPr>
      </w:pPr>
      <w:r w:rsidRPr="00E649E1">
        <w:rPr>
          <w:rFonts w:asciiTheme="minorHAnsi" w:hAnsiTheme="minorHAnsi" w:cstheme="minorHAnsi"/>
          <w:sz w:val="22"/>
          <w:szCs w:val="22"/>
        </w:rPr>
        <w:t>Gdański Uniwersytet Medyczny, jako Zamawiający, zawiadamia, iż do zapytania ofertowego dołącza „</w:t>
      </w:r>
      <w:r w:rsidR="00E649E1" w:rsidRPr="00E649E1">
        <w:rPr>
          <w:rFonts w:asciiTheme="minorHAnsi" w:hAnsiTheme="minorHAnsi" w:cstheme="minorHAnsi"/>
          <w:sz w:val="22"/>
          <w:szCs w:val="22"/>
        </w:rPr>
        <w:t>B5-oprawy</w:t>
      </w:r>
      <w:r w:rsidRPr="00E649E1">
        <w:rPr>
          <w:rFonts w:asciiTheme="minorHAnsi" w:hAnsiTheme="minorHAnsi" w:cstheme="minorHAnsi"/>
          <w:sz w:val="22"/>
          <w:szCs w:val="22"/>
        </w:rPr>
        <w:t>”</w:t>
      </w:r>
      <w:r w:rsidR="00E649E1" w:rsidRPr="00E649E1">
        <w:rPr>
          <w:rFonts w:asciiTheme="minorHAnsi" w:hAnsiTheme="minorHAnsi" w:cstheme="minorHAnsi"/>
          <w:sz w:val="22"/>
          <w:szCs w:val="22"/>
        </w:rPr>
        <w:t xml:space="preserve"> oraz „CSM – centralka” w formacie pdf.</w:t>
      </w:r>
    </w:p>
    <w:p w14:paraId="4E7705C9" w14:textId="4725C9B5" w:rsidR="00F76543" w:rsidRPr="00E649E1" w:rsidRDefault="00F76543" w:rsidP="001314CA">
      <w:pPr>
        <w:spacing w:line="276" w:lineRule="auto"/>
        <w:jc w:val="both"/>
        <w:rPr>
          <w:rFonts w:asciiTheme="minorHAnsi" w:hAnsiTheme="minorHAnsi" w:cstheme="minorHAnsi"/>
          <w:sz w:val="22"/>
          <w:szCs w:val="22"/>
        </w:rPr>
      </w:pPr>
    </w:p>
    <w:p w14:paraId="0FB80EDB" w14:textId="43161834" w:rsidR="00F76543" w:rsidRPr="00E649E1" w:rsidRDefault="00F76543" w:rsidP="001314CA">
      <w:pPr>
        <w:spacing w:line="276" w:lineRule="auto"/>
        <w:jc w:val="both"/>
        <w:rPr>
          <w:rFonts w:asciiTheme="minorHAnsi" w:hAnsiTheme="minorHAnsi" w:cstheme="minorHAnsi"/>
          <w:b/>
          <w:bCs/>
          <w:sz w:val="22"/>
          <w:szCs w:val="22"/>
          <w:u w:val="single"/>
        </w:rPr>
      </w:pPr>
      <w:r w:rsidRPr="00E649E1">
        <w:rPr>
          <w:rFonts w:asciiTheme="minorHAnsi" w:hAnsiTheme="minorHAnsi" w:cstheme="minorHAnsi"/>
          <w:sz w:val="22"/>
          <w:szCs w:val="22"/>
        </w:rPr>
        <w:t xml:space="preserve">Gdański Uniwersytet Medyczny, jako Zamawiający, zawiadamia, iż </w:t>
      </w:r>
      <w:r w:rsidRPr="00E649E1">
        <w:rPr>
          <w:rFonts w:asciiTheme="minorHAnsi" w:hAnsiTheme="minorHAnsi" w:cstheme="minorHAnsi"/>
          <w:b/>
          <w:bCs/>
          <w:sz w:val="22"/>
          <w:szCs w:val="22"/>
          <w:u w:val="single"/>
        </w:rPr>
        <w:t xml:space="preserve">termin składania ofert ulega wydłużeniu do dnia </w:t>
      </w:r>
      <w:r w:rsidR="00E649E1" w:rsidRPr="00E649E1">
        <w:rPr>
          <w:rFonts w:asciiTheme="minorHAnsi" w:hAnsiTheme="minorHAnsi" w:cstheme="minorHAnsi"/>
          <w:b/>
          <w:bCs/>
          <w:sz w:val="22"/>
          <w:szCs w:val="22"/>
          <w:u w:val="single"/>
        </w:rPr>
        <w:t>24</w:t>
      </w:r>
      <w:r w:rsidRPr="00E649E1">
        <w:rPr>
          <w:rFonts w:asciiTheme="minorHAnsi" w:hAnsiTheme="minorHAnsi" w:cstheme="minorHAnsi"/>
          <w:b/>
          <w:bCs/>
          <w:sz w:val="22"/>
          <w:szCs w:val="22"/>
          <w:u w:val="single"/>
        </w:rPr>
        <w:t>.0</w:t>
      </w:r>
      <w:r w:rsidR="00E649E1" w:rsidRPr="00E649E1">
        <w:rPr>
          <w:rFonts w:asciiTheme="minorHAnsi" w:hAnsiTheme="minorHAnsi" w:cstheme="minorHAnsi"/>
          <w:b/>
          <w:bCs/>
          <w:sz w:val="22"/>
          <w:szCs w:val="22"/>
          <w:u w:val="single"/>
        </w:rPr>
        <w:t>7</w:t>
      </w:r>
      <w:r w:rsidRPr="00E649E1">
        <w:rPr>
          <w:rFonts w:asciiTheme="minorHAnsi" w:hAnsiTheme="minorHAnsi" w:cstheme="minorHAnsi"/>
          <w:b/>
          <w:bCs/>
          <w:sz w:val="22"/>
          <w:szCs w:val="22"/>
          <w:u w:val="single"/>
        </w:rPr>
        <w:t>.2026 (</w:t>
      </w:r>
      <w:proofErr w:type="spellStart"/>
      <w:r w:rsidR="00E649E1" w:rsidRPr="00E649E1">
        <w:rPr>
          <w:rFonts w:asciiTheme="minorHAnsi" w:hAnsiTheme="minorHAnsi" w:cstheme="minorHAnsi"/>
          <w:b/>
          <w:bCs/>
          <w:sz w:val="22"/>
          <w:szCs w:val="22"/>
          <w:u w:val="single"/>
        </w:rPr>
        <w:t>piątrk</w:t>
      </w:r>
      <w:proofErr w:type="spellEnd"/>
      <w:r w:rsidRPr="00E649E1">
        <w:rPr>
          <w:rFonts w:asciiTheme="minorHAnsi" w:hAnsiTheme="minorHAnsi" w:cstheme="minorHAnsi"/>
          <w:b/>
          <w:bCs/>
          <w:sz w:val="22"/>
          <w:szCs w:val="22"/>
          <w:u w:val="single"/>
        </w:rPr>
        <w:t>) do godz. 12:00</w:t>
      </w:r>
    </w:p>
    <w:p w14:paraId="43E6EF9D" w14:textId="6DBEC62E" w:rsidR="001604DE" w:rsidRPr="00E649E1" w:rsidRDefault="001604DE" w:rsidP="001314CA">
      <w:pPr>
        <w:spacing w:line="276" w:lineRule="auto"/>
        <w:jc w:val="both"/>
        <w:rPr>
          <w:rFonts w:asciiTheme="minorHAnsi" w:hAnsiTheme="minorHAnsi" w:cstheme="minorHAnsi"/>
          <w:sz w:val="22"/>
          <w:szCs w:val="22"/>
        </w:rPr>
      </w:pPr>
    </w:p>
    <w:p w14:paraId="1111759A" w14:textId="77777777" w:rsidR="00580AFC" w:rsidRPr="00E649E1" w:rsidRDefault="00580AFC" w:rsidP="001314CA">
      <w:pPr>
        <w:spacing w:after="120" w:line="276" w:lineRule="auto"/>
        <w:jc w:val="both"/>
        <w:rPr>
          <w:rFonts w:asciiTheme="minorHAnsi" w:hAnsiTheme="minorHAnsi" w:cstheme="minorHAnsi"/>
          <w:sz w:val="22"/>
          <w:szCs w:val="22"/>
        </w:rPr>
      </w:pPr>
    </w:p>
    <w:p w14:paraId="28BE0BFB" w14:textId="77777777" w:rsidR="00E84C61" w:rsidRPr="00E649E1" w:rsidRDefault="00E84C61" w:rsidP="001314CA">
      <w:pPr>
        <w:spacing w:after="120" w:line="276" w:lineRule="auto"/>
        <w:jc w:val="both"/>
        <w:rPr>
          <w:rFonts w:asciiTheme="minorHAnsi" w:hAnsiTheme="minorHAnsi" w:cstheme="minorHAnsi"/>
          <w:sz w:val="22"/>
          <w:szCs w:val="22"/>
        </w:rPr>
      </w:pPr>
    </w:p>
    <w:p w14:paraId="1E03ED8D" w14:textId="75B96361" w:rsidR="00C37605" w:rsidRPr="00E649E1" w:rsidRDefault="00F105E3" w:rsidP="00074FE9">
      <w:pPr>
        <w:spacing w:after="120" w:line="276" w:lineRule="auto"/>
        <w:ind w:left="5664"/>
        <w:rPr>
          <w:rFonts w:asciiTheme="minorHAnsi" w:hAnsiTheme="minorHAnsi" w:cstheme="minorHAnsi"/>
          <w:sz w:val="22"/>
          <w:szCs w:val="22"/>
        </w:rPr>
      </w:pPr>
      <w:r w:rsidRPr="00E649E1">
        <w:rPr>
          <w:rFonts w:asciiTheme="minorHAnsi" w:hAnsiTheme="minorHAnsi" w:cstheme="minorHAnsi"/>
          <w:sz w:val="22"/>
          <w:szCs w:val="22"/>
        </w:rPr>
        <w:t xml:space="preserve">                           </w:t>
      </w:r>
      <w:proofErr w:type="spellStart"/>
      <w:r w:rsidRPr="00E649E1">
        <w:rPr>
          <w:rFonts w:asciiTheme="minorHAnsi" w:hAnsiTheme="minorHAnsi" w:cstheme="minorHAnsi"/>
          <w:sz w:val="22"/>
          <w:szCs w:val="22"/>
        </w:rPr>
        <w:t>p.o</w:t>
      </w:r>
      <w:proofErr w:type="spellEnd"/>
      <w:r w:rsidRPr="00E649E1">
        <w:rPr>
          <w:rFonts w:asciiTheme="minorHAnsi" w:hAnsiTheme="minorHAnsi" w:cstheme="minorHAnsi"/>
          <w:sz w:val="22"/>
          <w:szCs w:val="22"/>
        </w:rPr>
        <w:t xml:space="preserve"> Kanclerza </w:t>
      </w:r>
    </w:p>
    <w:p w14:paraId="17BD0468" w14:textId="7093CF72" w:rsidR="00C37605" w:rsidRPr="00E649E1" w:rsidRDefault="00C37605" w:rsidP="001314CA">
      <w:pPr>
        <w:spacing w:after="120" w:line="276" w:lineRule="auto"/>
        <w:rPr>
          <w:rFonts w:asciiTheme="minorHAnsi" w:hAnsiTheme="minorHAnsi" w:cstheme="minorHAnsi"/>
          <w:sz w:val="22"/>
          <w:szCs w:val="22"/>
        </w:rPr>
      </w:pP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r>
      <w:r w:rsidRPr="00E649E1">
        <w:rPr>
          <w:rFonts w:asciiTheme="minorHAnsi" w:hAnsiTheme="minorHAnsi" w:cstheme="minorHAnsi"/>
          <w:sz w:val="22"/>
          <w:szCs w:val="22"/>
        </w:rPr>
        <w:tab/>
        <w:t xml:space="preserve">              </w:t>
      </w:r>
      <w:r w:rsidR="00580AFC" w:rsidRPr="00E649E1">
        <w:rPr>
          <w:rFonts w:asciiTheme="minorHAnsi" w:hAnsiTheme="minorHAnsi" w:cstheme="minorHAnsi"/>
          <w:sz w:val="22"/>
          <w:szCs w:val="22"/>
        </w:rPr>
        <w:t xml:space="preserve">        </w:t>
      </w:r>
      <w:r w:rsidRPr="00E649E1">
        <w:rPr>
          <w:rFonts w:asciiTheme="minorHAnsi" w:hAnsiTheme="minorHAnsi" w:cstheme="minorHAnsi"/>
          <w:sz w:val="22"/>
          <w:szCs w:val="22"/>
        </w:rPr>
        <w:t>/-/</w:t>
      </w:r>
    </w:p>
    <w:p w14:paraId="495EB683" w14:textId="32174511" w:rsidR="00C37605" w:rsidRPr="00E649E1" w:rsidRDefault="00580AFC" w:rsidP="001314CA">
      <w:pPr>
        <w:spacing w:line="276" w:lineRule="auto"/>
        <w:ind w:left="6237"/>
        <w:rPr>
          <w:rFonts w:asciiTheme="minorHAnsi" w:hAnsiTheme="minorHAnsi" w:cstheme="minorHAnsi"/>
          <w:i/>
          <w:sz w:val="22"/>
          <w:szCs w:val="22"/>
        </w:rPr>
      </w:pPr>
      <w:r w:rsidRPr="00E649E1">
        <w:rPr>
          <w:rFonts w:asciiTheme="minorHAnsi" w:hAnsiTheme="minorHAnsi" w:cstheme="minorHAnsi"/>
          <w:sz w:val="22"/>
          <w:szCs w:val="22"/>
        </w:rPr>
        <w:t xml:space="preserve">         </w:t>
      </w:r>
      <w:r w:rsidR="00F105E3" w:rsidRPr="00E649E1">
        <w:rPr>
          <w:rFonts w:asciiTheme="minorHAnsi" w:hAnsiTheme="minorHAnsi" w:cstheme="minorHAnsi"/>
          <w:sz w:val="22"/>
          <w:szCs w:val="22"/>
        </w:rPr>
        <w:t xml:space="preserve">prof. dr hab. Jacek </w:t>
      </w:r>
      <w:proofErr w:type="spellStart"/>
      <w:r w:rsidR="00F105E3" w:rsidRPr="00E649E1">
        <w:rPr>
          <w:rFonts w:asciiTheme="minorHAnsi" w:hAnsiTheme="minorHAnsi" w:cstheme="minorHAnsi"/>
          <w:sz w:val="22"/>
          <w:szCs w:val="22"/>
        </w:rPr>
        <w:t>Bigda</w:t>
      </w:r>
      <w:proofErr w:type="spellEnd"/>
      <w:r w:rsidR="00C37605" w:rsidRPr="00E649E1">
        <w:rPr>
          <w:rFonts w:asciiTheme="minorHAnsi" w:hAnsiTheme="minorHAnsi" w:cstheme="minorHAnsi"/>
          <w:sz w:val="22"/>
          <w:szCs w:val="22"/>
        </w:rPr>
        <w:t xml:space="preserve">                                       </w:t>
      </w:r>
    </w:p>
    <w:p w14:paraId="7150407F" w14:textId="77777777" w:rsidR="008B28D0" w:rsidRPr="00E649E1" w:rsidRDefault="008B28D0" w:rsidP="001314CA">
      <w:pPr>
        <w:spacing w:line="276" w:lineRule="auto"/>
        <w:rPr>
          <w:rFonts w:asciiTheme="minorHAnsi" w:hAnsiTheme="minorHAnsi" w:cstheme="minorHAnsi"/>
          <w:sz w:val="22"/>
          <w:szCs w:val="22"/>
        </w:rPr>
      </w:pPr>
    </w:p>
    <w:p w14:paraId="78402E55" w14:textId="2D8439DD" w:rsidR="00513D56" w:rsidRPr="00E649E1" w:rsidRDefault="00513D56" w:rsidP="001314CA">
      <w:pPr>
        <w:spacing w:line="276" w:lineRule="auto"/>
        <w:rPr>
          <w:rFonts w:asciiTheme="minorHAnsi" w:hAnsiTheme="minorHAnsi" w:cstheme="minorHAnsi"/>
          <w:i/>
          <w:sz w:val="22"/>
          <w:szCs w:val="22"/>
        </w:rPr>
      </w:pPr>
      <w:r w:rsidRPr="00E649E1">
        <w:rPr>
          <w:rFonts w:asciiTheme="minorHAnsi" w:hAnsiTheme="minorHAnsi" w:cstheme="minorHAnsi"/>
          <w:i/>
          <w:sz w:val="22"/>
          <w:szCs w:val="22"/>
        </w:rPr>
        <w:t xml:space="preserve">Sprawę prowadzi: </w:t>
      </w:r>
      <w:r w:rsidR="00F105E3" w:rsidRPr="00E649E1">
        <w:rPr>
          <w:rFonts w:asciiTheme="minorHAnsi" w:hAnsiTheme="minorHAnsi" w:cstheme="minorHAnsi"/>
          <w:i/>
          <w:sz w:val="22"/>
          <w:szCs w:val="22"/>
        </w:rPr>
        <w:t>Monika Waszczuk</w:t>
      </w:r>
    </w:p>
    <w:sectPr w:rsidR="00513D56" w:rsidRPr="00E649E1" w:rsidSect="001314CA">
      <w:headerReference w:type="default" r:id="rId7"/>
      <w:footerReference w:type="default" r:id="rId8"/>
      <w:pgSz w:w="11906" w:h="16838"/>
      <w:pgMar w:top="2977" w:right="1274" w:bottom="1134" w:left="1417" w:header="0"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92A8" w14:textId="77777777" w:rsidR="00E16D97" w:rsidRDefault="00E16D97" w:rsidP="000A396A">
      <w:r>
        <w:separator/>
      </w:r>
    </w:p>
  </w:endnote>
  <w:endnote w:type="continuationSeparator" w:id="0">
    <w:p w14:paraId="757E2795" w14:textId="77777777" w:rsidR="00E16D97" w:rsidRDefault="00E16D97" w:rsidP="000A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27C61" w14:textId="77777777" w:rsidR="00881CD7" w:rsidRPr="00E02042" w:rsidRDefault="00881CD7" w:rsidP="00074FE9">
    <w:pPr>
      <w:pStyle w:val="Stopka"/>
      <w:spacing w:line="276" w:lineRule="auto"/>
      <w:rPr>
        <w:rFonts w:ascii="Century Gothic" w:hAnsi="Century Gothic"/>
        <w:b/>
        <w:bCs/>
        <w:color w:val="02438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DD6F" w14:textId="77777777" w:rsidR="00E16D97" w:rsidRDefault="00E16D97" w:rsidP="000A396A">
      <w:r>
        <w:separator/>
      </w:r>
    </w:p>
  </w:footnote>
  <w:footnote w:type="continuationSeparator" w:id="0">
    <w:p w14:paraId="3CB4B721" w14:textId="77777777" w:rsidR="00E16D97" w:rsidRDefault="00E16D97" w:rsidP="000A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C4B" w14:textId="5BC4AF20" w:rsidR="00881CD7" w:rsidRDefault="00881CD7" w:rsidP="000A396A">
    <w:pPr>
      <w:pStyle w:val="Nagwek"/>
      <w:ind w:left="-1417"/>
    </w:pPr>
  </w:p>
  <w:p w14:paraId="677BE53B" w14:textId="77777777" w:rsidR="00D56691" w:rsidRDefault="00D56691" w:rsidP="000A396A">
    <w:pPr>
      <w:pStyle w:val="Nagwek"/>
      <w:ind w:left="-1417"/>
    </w:pPr>
  </w:p>
  <w:p w14:paraId="32AB8C7E" w14:textId="27A119D6" w:rsidR="00D56691" w:rsidRDefault="00D56691" w:rsidP="000A396A">
    <w:pPr>
      <w:pStyle w:val="Nagwek"/>
      <w:ind w:left="-1417"/>
    </w:pPr>
    <w:r>
      <w:rPr>
        <w:noProof/>
      </w:rPr>
      <w:t xml:space="preserve">            </w:t>
    </w:r>
    <w:r>
      <w:rPr>
        <w:noProof/>
      </w:rPr>
      <w:drawing>
        <wp:inline distT="0" distB="0" distL="0" distR="0" wp14:anchorId="37C91975" wp14:editId="094BB575">
          <wp:extent cx="1524000" cy="552450"/>
          <wp:effectExtent l="0" t="0" r="0" b="0"/>
          <wp:docPr id="1317335103" name="Obraz 1" descr="Obraz zawierający Czcionka, Grafika, tekst,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335103" name="Obraz 1" descr="Obraz zawierający Czcionka, Grafika, tekst,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6770"/>
    <w:multiLevelType w:val="hybridMultilevel"/>
    <w:tmpl w:val="FEA49E86"/>
    <w:lvl w:ilvl="0" w:tplc="21426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B6757"/>
    <w:multiLevelType w:val="hybridMultilevel"/>
    <w:tmpl w:val="8278D3BA"/>
    <w:lvl w:ilvl="0" w:tplc="23A25EA0">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8C14CFB"/>
    <w:multiLevelType w:val="multilevel"/>
    <w:tmpl w:val="4112A094"/>
    <w:lvl w:ilvl="0">
      <w:start w:val="3"/>
      <w:numFmt w:val="decimal"/>
      <w:lvlText w:val="%1."/>
      <w:legacy w:legacy="1" w:legacySpace="0" w:legacyIndent="353"/>
      <w:lvlJc w:val="left"/>
      <w:rPr>
        <w:rFonts w:ascii="Arial" w:hAnsi="Arial" w:cs="Arial" w:hint="default"/>
      </w:rPr>
    </w:lvl>
    <w:lvl w:ilvl="1">
      <w:start w:val="1"/>
      <w:numFmt w:val="decimal"/>
      <w:isLgl/>
      <w:lvlText w:val="%1.%2."/>
      <w:lvlJc w:val="left"/>
      <w:pPr>
        <w:ind w:left="828" w:hanging="36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952"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716" w:hanging="1440"/>
      </w:pPr>
      <w:rPr>
        <w:rFonts w:hint="default"/>
      </w:rPr>
    </w:lvl>
    <w:lvl w:ilvl="8">
      <w:start w:val="1"/>
      <w:numFmt w:val="decimal"/>
      <w:isLgl/>
      <w:lvlText w:val="%1.%2.%3.%4.%5.%6.%7.%8.%9."/>
      <w:lvlJc w:val="left"/>
      <w:pPr>
        <w:ind w:left="5544" w:hanging="1800"/>
      </w:pPr>
      <w:rPr>
        <w:rFonts w:hint="default"/>
      </w:rPr>
    </w:lvl>
  </w:abstractNum>
  <w:abstractNum w:abstractNumId="3" w15:restartNumberingAfterBreak="0">
    <w:nsid w:val="1C9E1FAC"/>
    <w:multiLevelType w:val="multilevel"/>
    <w:tmpl w:val="A0A436C2"/>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2149F5"/>
    <w:multiLevelType w:val="hybridMultilevel"/>
    <w:tmpl w:val="4A7038AA"/>
    <w:lvl w:ilvl="0" w:tplc="4A145120">
      <w:start w:val="1"/>
      <w:numFmt w:val="decimal"/>
      <w:lvlText w:val="%1)"/>
      <w:lvlJc w:val="left"/>
      <w:pPr>
        <w:tabs>
          <w:tab w:val="num" w:pos="720"/>
        </w:tabs>
        <w:ind w:left="720" w:hanging="360"/>
      </w:pPr>
      <w:rPr>
        <w:rFonts w:hint="default"/>
        <w:i w:val="0"/>
        <w:color w:val="auto"/>
      </w:rPr>
    </w:lvl>
    <w:lvl w:ilvl="1" w:tplc="D7BAA60E">
      <w:start w:val="1"/>
      <w:numFmt w:val="decimal"/>
      <w:lvlText w:val="%2."/>
      <w:lvlJc w:val="left"/>
      <w:pPr>
        <w:tabs>
          <w:tab w:val="num" w:pos="1440"/>
        </w:tabs>
        <w:ind w:left="1440" w:hanging="360"/>
      </w:pPr>
    </w:lvl>
    <w:lvl w:ilvl="2" w:tplc="F5600740">
      <w:start w:val="1"/>
      <w:numFmt w:val="decimal"/>
      <w:lvlText w:val="%3."/>
      <w:lvlJc w:val="left"/>
      <w:pPr>
        <w:tabs>
          <w:tab w:val="num" w:pos="2160"/>
        </w:tabs>
        <w:ind w:left="2160" w:hanging="360"/>
      </w:pPr>
    </w:lvl>
    <w:lvl w:ilvl="3" w:tplc="6186B0DE">
      <w:start w:val="1"/>
      <w:numFmt w:val="decimal"/>
      <w:lvlText w:val="%4."/>
      <w:lvlJc w:val="left"/>
      <w:pPr>
        <w:tabs>
          <w:tab w:val="num" w:pos="2880"/>
        </w:tabs>
        <w:ind w:left="2880" w:hanging="360"/>
      </w:pPr>
    </w:lvl>
    <w:lvl w:ilvl="4" w:tplc="AD7E4F02">
      <w:start w:val="1"/>
      <w:numFmt w:val="decimal"/>
      <w:lvlText w:val="%5."/>
      <w:lvlJc w:val="left"/>
      <w:pPr>
        <w:tabs>
          <w:tab w:val="num" w:pos="3600"/>
        </w:tabs>
        <w:ind w:left="3600" w:hanging="360"/>
      </w:pPr>
    </w:lvl>
    <w:lvl w:ilvl="5" w:tplc="6158EF1E">
      <w:start w:val="1"/>
      <w:numFmt w:val="decimal"/>
      <w:lvlText w:val="%6."/>
      <w:lvlJc w:val="left"/>
      <w:pPr>
        <w:tabs>
          <w:tab w:val="num" w:pos="4320"/>
        </w:tabs>
        <w:ind w:left="4320" w:hanging="360"/>
      </w:pPr>
    </w:lvl>
    <w:lvl w:ilvl="6" w:tplc="DD023DE8">
      <w:start w:val="1"/>
      <w:numFmt w:val="decimal"/>
      <w:lvlText w:val="%7."/>
      <w:lvlJc w:val="left"/>
      <w:pPr>
        <w:tabs>
          <w:tab w:val="num" w:pos="5040"/>
        </w:tabs>
        <w:ind w:left="5040" w:hanging="360"/>
      </w:pPr>
    </w:lvl>
    <w:lvl w:ilvl="7" w:tplc="82A688E6">
      <w:start w:val="1"/>
      <w:numFmt w:val="decimal"/>
      <w:lvlText w:val="%8."/>
      <w:lvlJc w:val="left"/>
      <w:pPr>
        <w:tabs>
          <w:tab w:val="num" w:pos="5760"/>
        </w:tabs>
        <w:ind w:left="5760" w:hanging="360"/>
      </w:pPr>
    </w:lvl>
    <w:lvl w:ilvl="8" w:tplc="79C6289E">
      <w:start w:val="1"/>
      <w:numFmt w:val="decimal"/>
      <w:lvlText w:val="%9."/>
      <w:lvlJc w:val="left"/>
      <w:pPr>
        <w:tabs>
          <w:tab w:val="num" w:pos="6480"/>
        </w:tabs>
        <w:ind w:left="6480" w:hanging="360"/>
      </w:pPr>
    </w:lvl>
  </w:abstractNum>
  <w:abstractNum w:abstractNumId="5" w15:restartNumberingAfterBreak="0">
    <w:nsid w:val="31875383"/>
    <w:multiLevelType w:val="hybridMultilevel"/>
    <w:tmpl w:val="21AC3C22"/>
    <w:lvl w:ilvl="0" w:tplc="04150001">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6" w15:restartNumberingAfterBreak="0">
    <w:nsid w:val="34CC2411"/>
    <w:multiLevelType w:val="multilevel"/>
    <w:tmpl w:val="9BBE6D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C7F1534"/>
    <w:multiLevelType w:val="hybridMultilevel"/>
    <w:tmpl w:val="621E77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2A7E7A"/>
    <w:multiLevelType w:val="singleLevel"/>
    <w:tmpl w:val="C6842FAC"/>
    <w:lvl w:ilvl="0">
      <w:start w:val="1"/>
      <w:numFmt w:val="decimal"/>
      <w:lvlText w:val="%1."/>
      <w:legacy w:legacy="1" w:legacySpace="0" w:legacyIndent="353"/>
      <w:lvlJc w:val="left"/>
      <w:rPr>
        <w:rFonts w:ascii="Arial" w:hAnsi="Arial" w:cs="Arial" w:hint="default"/>
      </w:rPr>
    </w:lvl>
  </w:abstractNum>
  <w:abstractNum w:abstractNumId="9" w15:restartNumberingAfterBreak="0">
    <w:nsid w:val="4B5E1D14"/>
    <w:multiLevelType w:val="hybridMultilevel"/>
    <w:tmpl w:val="B80059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6E58DA"/>
    <w:multiLevelType w:val="hybridMultilevel"/>
    <w:tmpl w:val="90A23472"/>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45D44D66">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FA04713"/>
    <w:multiLevelType w:val="multilevel"/>
    <w:tmpl w:val="BB1215F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2A360F3"/>
    <w:multiLevelType w:val="multilevel"/>
    <w:tmpl w:val="4880A838"/>
    <w:lvl w:ilvl="0">
      <w:start w:val="1"/>
      <w:numFmt w:val="bullet"/>
      <w:lvlText w:val=""/>
      <w:lvlJc w:val="left"/>
      <w:pPr>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567712"/>
    <w:multiLevelType w:val="hybridMultilevel"/>
    <w:tmpl w:val="892CC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9521EB1"/>
    <w:multiLevelType w:val="hybridMultilevel"/>
    <w:tmpl w:val="5D96C21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2"/>
  </w:num>
  <w:num w:numId="6">
    <w:abstractNumId w:val="8"/>
  </w:num>
  <w:num w:numId="7">
    <w:abstractNumId w:val="2"/>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0"/>
  </w:num>
  <w:num w:numId="13">
    <w:abstractNumId w:val="14"/>
  </w:num>
  <w:num w:numId="14">
    <w:abstractNumId w:val="13"/>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6A"/>
    <w:rsid w:val="00006EF6"/>
    <w:rsid w:val="000137C8"/>
    <w:rsid w:val="00043EC4"/>
    <w:rsid w:val="00074FE9"/>
    <w:rsid w:val="000900B3"/>
    <w:rsid w:val="000A396A"/>
    <w:rsid w:val="000B0B1D"/>
    <w:rsid w:val="000B0FA7"/>
    <w:rsid w:val="000C3691"/>
    <w:rsid w:val="001057C5"/>
    <w:rsid w:val="00116464"/>
    <w:rsid w:val="001314CA"/>
    <w:rsid w:val="00145CB6"/>
    <w:rsid w:val="001518F7"/>
    <w:rsid w:val="00154640"/>
    <w:rsid w:val="00156D62"/>
    <w:rsid w:val="001604DE"/>
    <w:rsid w:val="00176252"/>
    <w:rsid w:val="001831D1"/>
    <w:rsid w:val="001A6977"/>
    <w:rsid w:val="001C459F"/>
    <w:rsid w:val="001C6021"/>
    <w:rsid w:val="001D2CB4"/>
    <w:rsid w:val="001D3FAF"/>
    <w:rsid w:val="00210D1B"/>
    <w:rsid w:val="00223323"/>
    <w:rsid w:val="00245BC6"/>
    <w:rsid w:val="00262C04"/>
    <w:rsid w:val="00274598"/>
    <w:rsid w:val="002A3524"/>
    <w:rsid w:val="002A6B02"/>
    <w:rsid w:val="002B2260"/>
    <w:rsid w:val="002B3E44"/>
    <w:rsid w:val="00307A46"/>
    <w:rsid w:val="00314AC0"/>
    <w:rsid w:val="00347648"/>
    <w:rsid w:val="00362D09"/>
    <w:rsid w:val="00365D10"/>
    <w:rsid w:val="003921AF"/>
    <w:rsid w:val="00392C41"/>
    <w:rsid w:val="003C00FB"/>
    <w:rsid w:val="003D298F"/>
    <w:rsid w:val="00400A18"/>
    <w:rsid w:val="00400B58"/>
    <w:rsid w:val="00433313"/>
    <w:rsid w:val="004600C2"/>
    <w:rsid w:val="00464DED"/>
    <w:rsid w:val="0046696C"/>
    <w:rsid w:val="004855A0"/>
    <w:rsid w:val="004D13D0"/>
    <w:rsid w:val="004D7496"/>
    <w:rsid w:val="004E14B8"/>
    <w:rsid w:val="00513D56"/>
    <w:rsid w:val="0053058F"/>
    <w:rsid w:val="00534DAE"/>
    <w:rsid w:val="00537D0B"/>
    <w:rsid w:val="005404EF"/>
    <w:rsid w:val="00550603"/>
    <w:rsid w:val="00580AFC"/>
    <w:rsid w:val="005862F3"/>
    <w:rsid w:val="005954DE"/>
    <w:rsid w:val="005B361C"/>
    <w:rsid w:val="005D6C67"/>
    <w:rsid w:val="005E23AA"/>
    <w:rsid w:val="005E751D"/>
    <w:rsid w:val="00615D95"/>
    <w:rsid w:val="0065100D"/>
    <w:rsid w:val="00661A2F"/>
    <w:rsid w:val="006A4DF5"/>
    <w:rsid w:val="006D3A29"/>
    <w:rsid w:val="006D7D77"/>
    <w:rsid w:val="007232C3"/>
    <w:rsid w:val="007526B6"/>
    <w:rsid w:val="007A14FC"/>
    <w:rsid w:val="007A41E6"/>
    <w:rsid w:val="007B54BC"/>
    <w:rsid w:val="007C1D38"/>
    <w:rsid w:val="007D4AC8"/>
    <w:rsid w:val="007E312D"/>
    <w:rsid w:val="007F7776"/>
    <w:rsid w:val="008506AD"/>
    <w:rsid w:val="00881CD7"/>
    <w:rsid w:val="008A6329"/>
    <w:rsid w:val="008B28D0"/>
    <w:rsid w:val="008B47B3"/>
    <w:rsid w:val="008C39AE"/>
    <w:rsid w:val="00904B06"/>
    <w:rsid w:val="00904FD2"/>
    <w:rsid w:val="0092176F"/>
    <w:rsid w:val="00944D5E"/>
    <w:rsid w:val="00953BCE"/>
    <w:rsid w:val="009557AA"/>
    <w:rsid w:val="0096754F"/>
    <w:rsid w:val="0096779E"/>
    <w:rsid w:val="009A69DE"/>
    <w:rsid w:val="009B1DA0"/>
    <w:rsid w:val="009C342B"/>
    <w:rsid w:val="009E1398"/>
    <w:rsid w:val="009E7E74"/>
    <w:rsid w:val="009F20EF"/>
    <w:rsid w:val="00A221F7"/>
    <w:rsid w:val="00A252C3"/>
    <w:rsid w:val="00A31971"/>
    <w:rsid w:val="00AA2313"/>
    <w:rsid w:val="00AC5A9D"/>
    <w:rsid w:val="00AD563A"/>
    <w:rsid w:val="00AE273E"/>
    <w:rsid w:val="00B03840"/>
    <w:rsid w:val="00B2111F"/>
    <w:rsid w:val="00B23E09"/>
    <w:rsid w:val="00B31E84"/>
    <w:rsid w:val="00B47D26"/>
    <w:rsid w:val="00B57CD0"/>
    <w:rsid w:val="00B676E4"/>
    <w:rsid w:val="00B71F0F"/>
    <w:rsid w:val="00B75708"/>
    <w:rsid w:val="00B7691A"/>
    <w:rsid w:val="00B77CC9"/>
    <w:rsid w:val="00B844A3"/>
    <w:rsid w:val="00BC12B4"/>
    <w:rsid w:val="00BC3A38"/>
    <w:rsid w:val="00BC4E68"/>
    <w:rsid w:val="00BC5B00"/>
    <w:rsid w:val="00BC68AD"/>
    <w:rsid w:val="00BE469B"/>
    <w:rsid w:val="00C0517B"/>
    <w:rsid w:val="00C26D7D"/>
    <w:rsid w:val="00C37605"/>
    <w:rsid w:val="00C5272A"/>
    <w:rsid w:val="00C53485"/>
    <w:rsid w:val="00C63DDC"/>
    <w:rsid w:val="00C7486C"/>
    <w:rsid w:val="00C847C4"/>
    <w:rsid w:val="00CA2AB3"/>
    <w:rsid w:val="00CD6E06"/>
    <w:rsid w:val="00CF583E"/>
    <w:rsid w:val="00D2496C"/>
    <w:rsid w:val="00D56691"/>
    <w:rsid w:val="00D6566A"/>
    <w:rsid w:val="00D707D5"/>
    <w:rsid w:val="00D84E3F"/>
    <w:rsid w:val="00DC46E4"/>
    <w:rsid w:val="00DC64BF"/>
    <w:rsid w:val="00E02042"/>
    <w:rsid w:val="00E16D97"/>
    <w:rsid w:val="00E27227"/>
    <w:rsid w:val="00E4349A"/>
    <w:rsid w:val="00E60550"/>
    <w:rsid w:val="00E649E1"/>
    <w:rsid w:val="00E84C61"/>
    <w:rsid w:val="00E86566"/>
    <w:rsid w:val="00EA3AF2"/>
    <w:rsid w:val="00EC0B1A"/>
    <w:rsid w:val="00EE70F0"/>
    <w:rsid w:val="00EF2B9F"/>
    <w:rsid w:val="00F105E3"/>
    <w:rsid w:val="00F22C39"/>
    <w:rsid w:val="00F57793"/>
    <w:rsid w:val="00F65A38"/>
    <w:rsid w:val="00F76543"/>
    <w:rsid w:val="00F96B34"/>
    <w:rsid w:val="00FB65A8"/>
    <w:rsid w:val="00FB7053"/>
    <w:rsid w:val="00FC4CF6"/>
    <w:rsid w:val="00FC4D86"/>
    <w:rsid w:val="00FD2CCB"/>
    <w:rsid w:val="00FF1B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15AEC"/>
  <w15:chartTrackingRefBased/>
  <w15:docId w15:val="{9EB0A3E1-DBF4-4E03-A953-20D80775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2D09"/>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iPriority w:val="9"/>
    <w:semiHidden/>
    <w:unhideWhenUsed/>
    <w:qFormat/>
    <w:rsid w:val="000900B3"/>
    <w:pPr>
      <w:keepNext/>
      <w:keepLines/>
      <w:spacing w:before="40" w:line="276" w:lineRule="auto"/>
      <w:outlineLvl w:val="3"/>
    </w:pPr>
    <w:rPr>
      <w:rFonts w:asciiTheme="majorHAnsi" w:eastAsiaTheme="majorEastAsia" w:hAnsiTheme="majorHAnsi" w:cstheme="majorBidi"/>
      <w:i/>
      <w:iCs/>
      <w:color w:val="2F5496" w:themeColor="accent1" w:themeShade="BF"/>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A396A"/>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0A396A"/>
  </w:style>
  <w:style w:type="paragraph" w:styleId="Stopka">
    <w:name w:val="footer"/>
    <w:basedOn w:val="Normalny"/>
    <w:link w:val="StopkaZnak"/>
    <w:uiPriority w:val="99"/>
    <w:unhideWhenUsed/>
    <w:rsid w:val="000A396A"/>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0A396A"/>
  </w:style>
  <w:style w:type="character" w:styleId="Hipercze">
    <w:name w:val="Hyperlink"/>
    <w:basedOn w:val="Domylnaczcionkaakapitu"/>
    <w:uiPriority w:val="99"/>
    <w:unhideWhenUsed/>
    <w:rsid w:val="005D6C67"/>
    <w:rPr>
      <w:color w:val="0563C1" w:themeColor="hyperlink"/>
      <w:u w:val="single"/>
    </w:rPr>
  </w:style>
  <w:style w:type="character" w:customStyle="1" w:styleId="Nierozpoznanawzmianka1">
    <w:name w:val="Nierozpoznana wzmianka1"/>
    <w:basedOn w:val="Domylnaczcionkaakapitu"/>
    <w:uiPriority w:val="99"/>
    <w:semiHidden/>
    <w:unhideWhenUsed/>
    <w:rsid w:val="005D6C67"/>
    <w:rPr>
      <w:color w:val="605E5C"/>
      <w:shd w:val="clear" w:color="auto" w:fill="E1DFDD"/>
    </w:rPr>
  </w:style>
  <w:style w:type="paragraph" w:customStyle="1" w:styleId="Default">
    <w:name w:val="Default"/>
    <w:rsid w:val="00362D09"/>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B757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5708"/>
    <w:rPr>
      <w:rFonts w:ascii="Segoe UI" w:eastAsia="Times New Roman" w:hAnsi="Segoe UI" w:cs="Segoe UI"/>
      <w:sz w:val="18"/>
      <w:szCs w:val="18"/>
      <w:lang w:eastAsia="pl-PL"/>
    </w:rPr>
  </w:style>
  <w:style w:type="paragraph" w:styleId="HTML-wstpniesformatowany">
    <w:name w:val="HTML Preformatted"/>
    <w:basedOn w:val="Normalny"/>
    <w:link w:val="HTML-wstpniesformatowanyZnak"/>
    <w:uiPriority w:val="99"/>
    <w:semiHidden/>
    <w:unhideWhenUsed/>
    <w:rsid w:val="002A6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2A6B02"/>
    <w:rPr>
      <w:rFonts w:ascii="Courier New" w:eastAsia="Times New Roman" w:hAnsi="Courier New" w:cs="Courier New"/>
      <w:sz w:val="20"/>
      <w:szCs w:val="20"/>
      <w:lang w:eastAsia="pl-PL"/>
    </w:rPr>
  </w:style>
  <w:style w:type="paragraph" w:styleId="Akapitzlist">
    <w:name w:val="List Paragraph"/>
    <w:aliases w:val="CW_Lista,L1,Numerowanie,Akapit z listą5"/>
    <w:basedOn w:val="Normalny"/>
    <w:link w:val="AkapitzlistZnak"/>
    <w:uiPriority w:val="34"/>
    <w:qFormat/>
    <w:rsid w:val="002B3E44"/>
    <w:pPr>
      <w:spacing w:after="160" w:line="256" w:lineRule="auto"/>
      <w:ind w:left="720"/>
      <w:contextualSpacing/>
    </w:pPr>
    <w:rPr>
      <w:rFonts w:ascii="Calibri" w:eastAsia="Calibri" w:hAnsi="Calibri"/>
      <w:sz w:val="22"/>
      <w:szCs w:val="22"/>
      <w:lang w:eastAsia="en-US"/>
    </w:rPr>
  </w:style>
  <w:style w:type="character" w:styleId="Pogrubienie">
    <w:name w:val="Strong"/>
    <w:basedOn w:val="Domylnaczcionkaakapitu"/>
    <w:uiPriority w:val="22"/>
    <w:qFormat/>
    <w:rsid w:val="002B3E44"/>
    <w:rPr>
      <w:b/>
      <w:bCs/>
    </w:rPr>
  </w:style>
  <w:style w:type="character" w:customStyle="1" w:styleId="Nagwek4Znak">
    <w:name w:val="Nagłówek 4 Znak"/>
    <w:basedOn w:val="Domylnaczcionkaakapitu"/>
    <w:link w:val="Nagwek4"/>
    <w:uiPriority w:val="9"/>
    <w:semiHidden/>
    <w:rsid w:val="000900B3"/>
    <w:rPr>
      <w:rFonts w:asciiTheme="majorHAnsi" w:eastAsiaTheme="majorEastAsia" w:hAnsiTheme="majorHAnsi" w:cstheme="majorBidi"/>
      <w:i/>
      <w:iCs/>
      <w:color w:val="2F5496" w:themeColor="accent1" w:themeShade="BF"/>
    </w:rPr>
  </w:style>
  <w:style w:type="paragraph" w:styleId="NormalnyWeb">
    <w:name w:val="Normal (Web)"/>
    <w:basedOn w:val="Normalny"/>
    <w:uiPriority w:val="99"/>
    <w:unhideWhenUsed/>
    <w:rsid w:val="000900B3"/>
    <w:rPr>
      <w:rFonts w:eastAsiaTheme="minorHAnsi"/>
      <w:sz w:val="24"/>
      <w:szCs w:val="24"/>
    </w:rPr>
  </w:style>
  <w:style w:type="character" w:customStyle="1" w:styleId="AkapitzlistZnak">
    <w:name w:val="Akapit z listą Znak"/>
    <w:aliases w:val="CW_Lista Znak,L1 Znak,Numerowanie Znak,Akapit z listą5 Znak"/>
    <w:link w:val="Akapitzlist"/>
    <w:uiPriority w:val="34"/>
    <w:qFormat/>
    <w:locked/>
    <w:rsid w:val="000900B3"/>
    <w:rPr>
      <w:rFonts w:ascii="Calibri" w:eastAsia="Calibri" w:hAnsi="Calibri" w:cs="Times New Roman"/>
    </w:rPr>
  </w:style>
  <w:style w:type="paragraph" w:customStyle="1" w:styleId="xmsonormal">
    <w:name w:val="x_msonormal"/>
    <w:basedOn w:val="Normalny"/>
    <w:rsid w:val="00B2111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3242">
      <w:bodyDiv w:val="1"/>
      <w:marLeft w:val="0"/>
      <w:marRight w:val="0"/>
      <w:marTop w:val="0"/>
      <w:marBottom w:val="0"/>
      <w:divBdr>
        <w:top w:val="none" w:sz="0" w:space="0" w:color="auto"/>
        <w:left w:val="none" w:sz="0" w:space="0" w:color="auto"/>
        <w:bottom w:val="none" w:sz="0" w:space="0" w:color="auto"/>
        <w:right w:val="none" w:sz="0" w:space="0" w:color="auto"/>
      </w:divBdr>
    </w:div>
    <w:div w:id="72440325">
      <w:bodyDiv w:val="1"/>
      <w:marLeft w:val="0"/>
      <w:marRight w:val="0"/>
      <w:marTop w:val="0"/>
      <w:marBottom w:val="0"/>
      <w:divBdr>
        <w:top w:val="none" w:sz="0" w:space="0" w:color="auto"/>
        <w:left w:val="none" w:sz="0" w:space="0" w:color="auto"/>
        <w:bottom w:val="none" w:sz="0" w:space="0" w:color="auto"/>
        <w:right w:val="none" w:sz="0" w:space="0" w:color="auto"/>
      </w:divBdr>
    </w:div>
    <w:div w:id="154494372">
      <w:bodyDiv w:val="1"/>
      <w:marLeft w:val="0"/>
      <w:marRight w:val="0"/>
      <w:marTop w:val="0"/>
      <w:marBottom w:val="0"/>
      <w:divBdr>
        <w:top w:val="none" w:sz="0" w:space="0" w:color="auto"/>
        <w:left w:val="none" w:sz="0" w:space="0" w:color="auto"/>
        <w:bottom w:val="none" w:sz="0" w:space="0" w:color="auto"/>
        <w:right w:val="none" w:sz="0" w:space="0" w:color="auto"/>
      </w:divBdr>
    </w:div>
    <w:div w:id="183326038">
      <w:bodyDiv w:val="1"/>
      <w:marLeft w:val="0"/>
      <w:marRight w:val="0"/>
      <w:marTop w:val="0"/>
      <w:marBottom w:val="0"/>
      <w:divBdr>
        <w:top w:val="none" w:sz="0" w:space="0" w:color="auto"/>
        <w:left w:val="none" w:sz="0" w:space="0" w:color="auto"/>
        <w:bottom w:val="none" w:sz="0" w:space="0" w:color="auto"/>
        <w:right w:val="none" w:sz="0" w:space="0" w:color="auto"/>
      </w:divBdr>
    </w:div>
    <w:div w:id="413816951">
      <w:bodyDiv w:val="1"/>
      <w:marLeft w:val="0"/>
      <w:marRight w:val="0"/>
      <w:marTop w:val="0"/>
      <w:marBottom w:val="0"/>
      <w:divBdr>
        <w:top w:val="none" w:sz="0" w:space="0" w:color="auto"/>
        <w:left w:val="none" w:sz="0" w:space="0" w:color="auto"/>
        <w:bottom w:val="none" w:sz="0" w:space="0" w:color="auto"/>
        <w:right w:val="none" w:sz="0" w:space="0" w:color="auto"/>
      </w:divBdr>
    </w:div>
    <w:div w:id="451562032">
      <w:bodyDiv w:val="1"/>
      <w:marLeft w:val="0"/>
      <w:marRight w:val="0"/>
      <w:marTop w:val="0"/>
      <w:marBottom w:val="0"/>
      <w:divBdr>
        <w:top w:val="none" w:sz="0" w:space="0" w:color="auto"/>
        <w:left w:val="none" w:sz="0" w:space="0" w:color="auto"/>
        <w:bottom w:val="none" w:sz="0" w:space="0" w:color="auto"/>
        <w:right w:val="none" w:sz="0" w:space="0" w:color="auto"/>
      </w:divBdr>
    </w:div>
    <w:div w:id="532617179">
      <w:bodyDiv w:val="1"/>
      <w:marLeft w:val="0"/>
      <w:marRight w:val="0"/>
      <w:marTop w:val="0"/>
      <w:marBottom w:val="0"/>
      <w:divBdr>
        <w:top w:val="none" w:sz="0" w:space="0" w:color="auto"/>
        <w:left w:val="none" w:sz="0" w:space="0" w:color="auto"/>
        <w:bottom w:val="none" w:sz="0" w:space="0" w:color="auto"/>
        <w:right w:val="none" w:sz="0" w:space="0" w:color="auto"/>
      </w:divBdr>
    </w:div>
    <w:div w:id="735933243">
      <w:bodyDiv w:val="1"/>
      <w:marLeft w:val="0"/>
      <w:marRight w:val="0"/>
      <w:marTop w:val="0"/>
      <w:marBottom w:val="0"/>
      <w:divBdr>
        <w:top w:val="none" w:sz="0" w:space="0" w:color="auto"/>
        <w:left w:val="none" w:sz="0" w:space="0" w:color="auto"/>
        <w:bottom w:val="none" w:sz="0" w:space="0" w:color="auto"/>
        <w:right w:val="none" w:sz="0" w:space="0" w:color="auto"/>
      </w:divBdr>
    </w:div>
    <w:div w:id="791482667">
      <w:bodyDiv w:val="1"/>
      <w:marLeft w:val="0"/>
      <w:marRight w:val="0"/>
      <w:marTop w:val="0"/>
      <w:marBottom w:val="0"/>
      <w:divBdr>
        <w:top w:val="none" w:sz="0" w:space="0" w:color="auto"/>
        <w:left w:val="none" w:sz="0" w:space="0" w:color="auto"/>
        <w:bottom w:val="none" w:sz="0" w:space="0" w:color="auto"/>
        <w:right w:val="none" w:sz="0" w:space="0" w:color="auto"/>
      </w:divBdr>
    </w:div>
    <w:div w:id="816411627">
      <w:bodyDiv w:val="1"/>
      <w:marLeft w:val="0"/>
      <w:marRight w:val="0"/>
      <w:marTop w:val="0"/>
      <w:marBottom w:val="0"/>
      <w:divBdr>
        <w:top w:val="none" w:sz="0" w:space="0" w:color="auto"/>
        <w:left w:val="none" w:sz="0" w:space="0" w:color="auto"/>
        <w:bottom w:val="none" w:sz="0" w:space="0" w:color="auto"/>
        <w:right w:val="none" w:sz="0" w:space="0" w:color="auto"/>
      </w:divBdr>
    </w:div>
    <w:div w:id="904073062">
      <w:bodyDiv w:val="1"/>
      <w:marLeft w:val="0"/>
      <w:marRight w:val="0"/>
      <w:marTop w:val="0"/>
      <w:marBottom w:val="0"/>
      <w:divBdr>
        <w:top w:val="none" w:sz="0" w:space="0" w:color="auto"/>
        <w:left w:val="none" w:sz="0" w:space="0" w:color="auto"/>
        <w:bottom w:val="none" w:sz="0" w:space="0" w:color="auto"/>
        <w:right w:val="none" w:sz="0" w:space="0" w:color="auto"/>
      </w:divBdr>
    </w:div>
    <w:div w:id="1100105562">
      <w:bodyDiv w:val="1"/>
      <w:marLeft w:val="0"/>
      <w:marRight w:val="0"/>
      <w:marTop w:val="0"/>
      <w:marBottom w:val="0"/>
      <w:divBdr>
        <w:top w:val="none" w:sz="0" w:space="0" w:color="auto"/>
        <w:left w:val="none" w:sz="0" w:space="0" w:color="auto"/>
        <w:bottom w:val="none" w:sz="0" w:space="0" w:color="auto"/>
        <w:right w:val="none" w:sz="0" w:space="0" w:color="auto"/>
      </w:divBdr>
    </w:div>
    <w:div w:id="1130172912">
      <w:bodyDiv w:val="1"/>
      <w:marLeft w:val="0"/>
      <w:marRight w:val="0"/>
      <w:marTop w:val="0"/>
      <w:marBottom w:val="0"/>
      <w:divBdr>
        <w:top w:val="none" w:sz="0" w:space="0" w:color="auto"/>
        <w:left w:val="none" w:sz="0" w:space="0" w:color="auto"/>
        <w:bottom w:val="none" w:sz="0" w:space="0" w:color="auto"/>
        <w:right w:val="none" w:sz="0" w:space="0" w:color="auto"/>
      </w:divBdr>
    </w:div>
    <w:div w:id="1152912340">
      <w:bodyDiv w:val="1"/>
      <w:marLeft w:val="0"/>
      <w:marRight w:val="0"/>
      <w:marTop w:val="0"/>
      <w:marBottom w:val="0"/>
      <w:divBdr>
        <w:top w:val="none" w:sz="0" w:space="0" w:color="auto"/>
        <w:left w:val="none" w:sz="0" w:space="0" w:color="auto"/>
        <w:bottom w:val="none" w:sz="0" w:space="0" w:color="auto"/>
        <w:right w:val="none" w:sz="0" w:space="0" w:color="auto"/>
      </w:divBdr>
    </w:div>
    <w:div w:id="1202982536">
      <w:bodyDiv w:val="1"/>
      <w:marLeft w:val="0"/>
      <w:marRight w:val="0"/>
      <w:marTop w:val="0"/>
      <w:marBottom w:val="0"/>
      <w:divBdr>
        <w:top w:val="none" w:sz="0" w:space="0" w:color="auto"/>
        <w:left w:val="none" w:sz="0" w:space="0" w:color="auto"/>
        <w:bottom w:val="none" w:sz="0" w:space="0" w:color="auto"/>
        <w:right w:val="none" w:sz="0" w:space="0" w:color="auto"/>
      </w:divBdr>
    </w:div>
    <w:div w:id="1227187138">
      <w:bodyDiv w:val="1"/>
      <w:marLeft w:val="0"/>
      <w:marRight w:val="0"/>
      <w:marTop w:val="0"/>
      <w:marBottom w:val="0"/>
      <w:divBdr>
        <w:top w:val="none" w:sz="0" w:space="0" w:color="auto"/>
        <w:left w:val="none" w:sz="0" w:space="0" w:color="auto"/>
        <w:bottom w:val="none" w:sz="0" w:space="0" w:color="auto"/>
        <w:right w:val="none" w:sz="0" w:space="0" w:color="auto"/>
      </w:divBdr>
    </w:div>
    <w:div w:id="1404910308">
      <w:bodyDiv w:val="1"/>
      <w:marLeft w:val="0"/>
      <w:marRight w:val="0"/>
      <w:marTop w:val="0"/>
      <w:marBottom w:val="0"/>
      <w:divBdr>
        <w:top w:val="none" w:sz="0" w:space="0" w:color="auto"/>
        <w:left w:val="none" w:sz="0" w:space="0" w:color="auto"/>
        <w:bottom w:val="none" w:sz="0" w:space="0" w:color="auto"/>
        <w:right w:val="none" w:sz="0" w:space="0" w:color="auto"/>
      </w:divBdr>
    </w:div>
    <w:div w:id="1445493799">
      <w:bodyDiv w:val="1"/>
      <w:marLeft w:val="0"/>
      <w:marRight w:val="0"/>
      <w:marTop w:val="0"/>
      <w:marBottom w:val="0"/>
      <w:divBdr>
        <w:top w:val="none" w:sz="0" w:space="0" w:color="auto"/>
        <w:left w:val="none" w:sz="0" w:space="0" w:color="auto"/>
        <w:bottom w:val="none" w:sz="0" w:space="0" w:color="auto"/>
        <w:right w:val="none" w:sz="0" w:space="0" w:color="auto"/>
      </w:divBdr>
    </w:div>
    <w:div w:id="1470829392">
      <w:bodyDiv w:val="1"/>
      <w:marLeft w:val="0"/>
      <w:marRight w:val="0"/>
      <w:marTop w:val="0"/>
      <w:marBottom w:val="0"/>
      <w:divBdr>
        <w:top w:val="none" w:sz="0" w:space="0" w:color="auto"/>
        <w:left w:val="none" w:sz="0" w:space="0" w:color="auto"/>
        <w:bottom w:val="none" w:sz="0" w:space="0" w:color="auto"/>
        <w:right w:val="none" w:sz="0" w:space="0" w:color="auto"/>
      </w:divBdr>
    </w:div>
    <w:div w:id="1476751258">
      <w:bodyDiv w:val="1"/>
      <w:marLeft w:val="0"/>
      <w:marRight w:val="0"/>
      <w:marTop w:val="0"/>
      <w:marBottom w:val="0"/>
      <w:divBdr>
        <w:top w:val="none" w:sz="0" w:space="0" w:color="auto"/>
        <w:left w:val="none" w:sz="0" w:space="0" w:color="auto"/>
        <w:bottom w:val="none" w:sz="0" w:space="0" w:color="auto"/>
        <w:right w:val="none" w:sz="0" w:space="0" w:color="auto"/>
      </w:divBdr>
    </w:div>
    <w:div w:id="1786659948">
      <w:bodyDiv w:val="1"/>
      <w:marLeft w:val="0"/>
      <w:marRight w:val="0"/>
      <w:marTop w:val="0"/>
      <w:marBottom w:val="0"/>
      <w:divBdr>
        <w:top w:val="none" w:sz="0" w:space="0" w:color="auto"/>
        <w:left w:val="none" w:sz="0" w:space="0" w:color="auto"/>
        <w:bottom w:val="none" w:sz="0" w:space="0" w:color="auto"/>
        <w:right w:val="none" w:sz="0" w:space="0" w:color="auto"/>
      </w:divBdr>
    </w:div>
    <w:div w:id="1792741325">
      <w:bodyDiv w:val="1"/>
      <w:marLeft w:val="0"/>
      <w:marRight w:val="0"/>
      <w:marTop w:val="0"/>
      <w:marBottom w:val="0"/>
      <w:divBdr>
        <w:top w:val="none" w:sz="0" w:space="0" w:color="auto"/>
        <w:left w:val="none" w:sz="0" w:space="0" w:color="auto"/>
        <w:bottom w:val="none" w:sz="0" w:space="0" w:color="auto"/>
        <w:right w:val="none" w:sz="0" w:space="0" w:color="auto"/>
      </w:divBdr>
    </w:div>
    <w:div w:id="1840730488">
      <w:bodyDiv w:val="1"/>
      <w:marLeft w:val="0"/>
      <w:marRight w:val="0"/>
      <w:marTop w:val="0"/>
      <w:marBottom w:val="0"/>
      <w:divBdr>
        <w:top w:val="none" w:sz="0" w:space="0" w:color="auto"/>
        <w:left w:val="none" w:sz="0" w:space="0" w:color="auto"/>
        <w:bottom w:val="none" w:sz="0" w:space="0" w:color="auto"/>
        <w:right w:val="none" w:sz="0" w:space="0" w:color="auto"/>
      </w:divBdr>
    </w:div>
    <w:div w:id="1853756776">
      <w:bodyDiv w:val="1"/>
      <w:marLeft w:val="0"/>
      <w:marRight w:val="0"/>
      <w:marTop w:val="0"/>
      <w:marBottom w:val="0"/>
      <w:divBdr>
        <w:top w:val="none" w:sz="0" w:space="0" w:color="auto"/>
        <w:left w:val="none" w:sz="0" w:space="0" w:color="auto"/>
        <w:bottom w:val="none" w:sz="0" w:space="0" w:color="auto"/>
        <w:right w:val="none" w:sz="0" w:space="0" w:color="auto"/>
      </w:divBdr>
    </w:div>
    <w:div w:id="1863543473">
      <w:bodyDiv w:val="1"/>
      <w:marLeft w:val="0"/>
      <w:marRight w:val="0"/>
      <w:marTop w:val="0"/>
      <w:marBottom w:val="0"/>
      <w:divBdr>
        <w:top w:val="none" w:sz="0" w:space="0" w:color="auto"/>
        <w:left w:val="none" w:sz="0" w:space="0" w:color="auto"/>
        <w:bottom w:val="none" w:sz="0" w:space="0" w:color="auto"/>
        <w:right w:val="none" w:sz="0" w:space="0" w:color="auto"/>
      </w:divBdr>
    </w:div>
    <w:div w:id="1913855254">
      <w:bodyDiv w:val="1"/>
      <w:marLeft w:val="0"/>
      <w:marRight w:val="0"/>
      <w:marTop w:val="0"/>
      <w:marBottom w:val="0"/>
      <w:divBdr>
        <w:top w:val="none" w:sz="0" w:space="0" w:color="auto"/>
        <w:left w:val="none" w:sz="0" w:space="0" w:color="auto"/>
        <w:bottom w:val="none" w:sz="0" w:space="0" w:color="auto"/>
        <w:right w:val="none" w:sz="0" w:space="0" w:color="auto"/>
      </w:divBdr>
    </w:div>
    <w:div w:id="1918901597">
      <w:bodyDiv w:val="1"/>
      <w:marLeft w:val="0"/>
      <w:marRight w:val="0"/>
      <w:marTop w:val="0"/>
      <w:marBottom w:val="0"/>
      <w:divBdr>
        <w:top w:val="none" w:sz="0" w:space="0" w:color="auto"/>
        <w:left w:val="none" w:sz="0" w:space="0" w:color="auto"/>
        <w:bottom w:val="none" w:sz="0" w:space="0" w:color="auto"/>
        <w:right w:val="none" w:sz="0" w:space="0" w:color="auto"/>
      </w:divBdr>
    </w:div>
    <w:div w:id="1939873370">
      <w:bodyDiv w:val="1"/>
      <w:marLeft w:val="0"/>
      <w:marRight w:val="0"/>
      <w:marTop w:val="0"/>
      <w:marBottom w:val="0"/>
      <w:divBdr>
        <w:top w:val="none" w:sz="0" w:space="0" w:color="auto"/>
        <w:left w:val="none" w:sz="0" w:space="0" w:color="auto"/>
        <w:bottom w:val="none" w:sz="0" w:space="0" w:color="auto"/>
        <w:right w:val="none" w:sz="0" w:space="0" w:color="auto"/>
      </w:divBdr>
    </w:div>
    <w:div w:id="19727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1069</Words>
  <Characters>6420</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kchgr</dc:creator>
  <cp:keywords/>
  <dc:description/>
  <cp:lastModifiedBy>Monika Waszczuk</cp:lastModifiedBy>
  <cp:revision>4</cp:revision>
  <cp:lastPrinted>2023-06-09T08:47:00Z</cp:lastPrinted>
  <dcterms:created xsi:type="dcterms:W3CDTF">2026-07-20T06:20:00Z</dcterms:created>
  <dcterms:modified xsi:type="dcterms:W3CDTF">2026-07-20T06:41:00Z</dcterms:modified>
</cp:coreProperties>
</file>