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07150031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1B6D53">
              <w:rPr>
                <w:rFonts w:ascii="Century Gothic" w:hAnsi="Century Gothic" w:cs="Calibri"/>
                <w:b/>
                <w:sz w:val="18"/>
                <w:szCs w:val="18"/>
              </w:rPr>
              <w:t>32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6C45738C" w14:textId="1C29A3F7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2753D4">
              <w:rPr>
                <w:rFonts w:ascii="Century Gothic" w:hAnsi="Century Gothic" w:cs="Calibri"/>
                <w:sz w:val="18"/>
                <w:szCs w:val="18"/>
              </w:rPr>
              <w:t>2</w:t>
            </w:r>
            <w:r w:rsidR="00006412">
              <w:rPr>
                <w:rFonts w:ascii="Century Gothic" w:hAnsi="Century Gothic" w:cs="Calibri"/>
                <w:sz w:val="18"/>
                <w:szCs w:val="18"/>
              </w:rPr>
              <w:t>4</w:t>
            </w:r>
            <w:r w:rsidR="002753D4">
              <w:rPr>
                <w:rFonts w:ascii="Century Gothic" w:hAnsi="Century Gothic" w:cs="Calibri"/>
                <w:sz w:val="18"/>
                <w:szCs w:val="18"/>
              </w:rPr>
              <w:t>.03.2026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23E45C70" w14:textId="28F96BC2" w:rsidR="00A13B1E" w:rsidRDefault="00962A81" w:rsidP="00A13B1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A13B1E">
        <w:rPr>
          <w:rFonts w:ascii="Century Gothic" w:eastAsia="Times New Roman" w:hAnsi="Century Gothic" w:cs="Times New Roman"/>
          <w:sz w:val="18"/>
          <w:szCs w:val="18"/>
        </w:rPr>
        <w:t xml:space="preserve">wykonanie okresowej kontroli budynków i obiektów budowalnych Gdańskiego Uniwersytetu Medycznego, zlokalizowanych w Gdańsku oraz Gdyni, polegającej na sprawdzeniu stanu technicznego zgodnie z art. 62 ust. 1 pkt. 1 a, b, c, pkt. 2, pkt. 3 ustawy Prawo Budowalne. W oparciu o ww. przepisy w ramach zamówienia Wykonawca zobowiązany jest wykonać: </w:t>
      </w:r>
    </w:p>
    <w:p w14:paraId="03A7C673" w14:textId="55293555" w:rsidR="00A13B1E" w:rsidRPr="003D134D" w:rsidRDefault="003D134D" w:rsidP="00A13B1E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3D134D">
        <w:rPr>
          <w:rFonts w:ascii="Century Gothic" w:hAnsi="Century Gothic"/>
          <w:sz w:val="18"/>
          <w:szCs w:val="18"/>
        </w:rPr>
        <w:t xml:space="preserve">Dla obiektów wymagających raz w roku </w:t>
      </w:r>
      <w:r w:rsidRPr="003D134D">
        <w:rPr>
          <w:rStyle w:val="Pogrubienie"/>
          <w:rFonts w:ascii="Century Gothic" w:hAnsi="Century Gothic"/>
          <w:b w:val="0"/>
          <w:bCs w:val="0"/>
          <w:sz w:val="18"/>
          <w:szCs w:val="18"/>
        </w:rPr>
        <w:t>sprawdzenia</w:t>
      </w:r>
      <w:r w:rsidR="00A13B1E" w:rsidRPr="003D134D">
        <w:rPr>
          <w:rFonts w:ascii="Century Gothic" w:eastAsia="Times New Roman" w:hAnsi="Century Gothic" w:cs="Times New Roman"/>
          <w:sz w:val="18"/>
          <w:szCs w:val="18"/>
        </w:rPr>
        <w:t>:</w:t>
      </w:r>
    </w:p>
    <w:p w14:paraId="790396F4" w14:textId="2F5270A6" w:rsidR="00A13B1E" w:rsidRDefault="00A13B1E" w:rsidP="00A13B1E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Elementów budynku, budowli i instalacji narażonych na szkodliwe wpływy atmosferyczne i niszczące działania czynników występujących podczas użytkowania obiektu;</w:t>
      </w:r>
    </w:p>
    <w:p w14:paraId="0205022D" w14:textId="14A75729" w:rsidR="00A13B1E" w:rsidRDefault="00A13B1E" w:rsidP="00A13B1E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Instalacji i urządzeń służących ochronie środowiska;</w:t>
      </w:r>
    </w:p>
    <w:p w14:paraId="72C788CC" w14:textId="23E4CE04" w:rsidR="00A13B1E" w:rsidRDefault="003D134D" w:rsidP="00A13B1E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Dla obiektów wymagających sprawdzenia co 5 lat:</w:t>
      </w:r>
      <w:r w:rsidR="00A13B1E">
        <w:rPr>
          <w:rFonts w:ascii="Century Gothic" w:eastAsia="Times New Roman" w:hAnsi="Century Gothic" w:cs="Times New Roman"/>
          <w:sz w:val="18"/>
          <w:szCs w:val="18"/>
        </w:rPr>
        <w:t>:</w:t>
      </w:r>
    </w:p>
    <w:p w14:paraId="642C2A90" w14:textId="5A057754" w:rsidR="00A13B1E" w:rsidRDefault="00A13B1E" w:rsidP="00A13B1E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Stanu technicznego i przydatności do użytkowania obiektu budowalnego, estetyki obiektu budowalnego oraz jego otoczenia</w:t>
      </w:r>
    </w:p>
    <w:p w14:paraId="1EBFC26F" w14:textId="52B05EFB" w:rsidR="00A13B1E" w:rsidRDefault="00236A4D" w:rsidP="00A13B1E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Badanie instalacji elektrycznych i piorunochronnych w zakresie stanu sprawności połączeń, osprzętu, zabezpieczeń i środków ochrony od porażeń, oporności izolacji przewodów oraz uziemień instalacji i aparatów wyłączonych z zakresu zamówienia;</w:t>
      </w:r>
    </w:p>
    <w:p w14:paraId="5338A929" w14:textId="165B616F" w:rsidR="00236A4D" w:rsidRDefault="00236A4D" w:rsidP="00236A4D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Co najmniej raz w roku, w terminie do 31 maja oraz 30 listopada, w przypadku budynków o powierzchni zabudowy przekraczającej 2000m2 oraz innych obiektów budowlanych o powierzchni dachu przekraczającej 1000m2 sprawdzenie:</w:t>
      </w:r>
    </w:p>
    <w:p w14:paraId="4AB59619" w14:textId="6B5C94F0" w:rsidR="00236A4D" w:rsidRDefault="00236A4D" w:rsidP="00236A4D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lastRenderedPageBreak/>
        <w:t>Elementów budynku, budowli i instalacji narażonych na szkodliwe wpływy atmosferyczne i niszczące działania czynników występujących podczas użytkowania obiektu;</w:t>
      </w:r>
    </w:p>
    <w:p w14:paraId="59CAB060" w14:textId="5A06AF03" w:rsidR="00236A4D" w:rsidRDefault="00236A4D" w:rsidP="00236A4D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Instalacji i urządzeń służących ochronie środowiska;</w:t>
      </w:r>
    </w:p>
    <w:p w14:paraId="4D74DE21" w14:textId="30390501" w:rsidR="00236A4D" w:rsidRPr="00236A4D" w:rsidRDefault="00236A4D" w:rsidP="00236A4D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 przypadku kontroli przywołanych w art. 62 ust. 1 pkt. 3 ustawy Prawo Budowalne osoba dokonująca kontroli jest obowiązana w terminie 7 dni od zakończenia kontroli zawiadomić organ nadzoru budowlanego na piśmie (zgodnie z art. 62b ust. 2 pkt. 2 ustawy Prawo Budowlane).</w:t>
      </w:r>
    </w:p>
    <w:p w14:paraId="10AFF1EA" w14:textId="5A5219E9" w:rsidR="00CF7060" w:rsidRDefault="00236A4D" w:rsidP="00D9439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Wykaz objętych zamówieniem budynków i budowli wraz z podaniem ich powierzchni oraz określeniem rodzaju wymaganego przeglądu określa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załącznik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DE5044">
        <w:rPr>
          <w:rFonts w:ascii="Century Gothic" w:eastAsia="Times New Roman" w:hAnsi="Century Gothic" w:cs="Times New Roman"/>
          <w:sz w:val="18"/>
          <w:szCs w:val="18"/>
        </w:rPr>
        <w:t>7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zapytania.</w:t>
      </w:r>
    </w:p>
    <w:p w14:paraId="1AB8E506" w14:textId="77777777" w:rsidR="00D94395" w:rsidRPr="00D94395" w:rsidRDefault="00D94395" w:rsidP="00D94395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93CA37D" w14:textId="4D381807" w:rsidR="00D93CD5" w:rsidRPr="00F6067A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</w:t>
      </w: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przed upływem terminu składania ofert, a jeżeli okres prowadzenia działalności jest krótszy – w tym okresie,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usług </w:t>
      </w:r>
      <w:r w:rsidR="00CC6CB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okresowej kontroli budynków i obiektów budowlanych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użyteczności publicznej – </w:t>
      </w:r>
      <w:r w:rsidR="00CC6CB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obejmujących co najmniej 40 obiektów, zrealizowanych dla minimum 2 inwestorów lub w co najmniej 2</w:t>
      </w:r>
      <w:r w:rsidR="008355D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odrębnych</w:t>
      </w:r>
      <w:r w:rsidR="00CC6CB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lokalizacjach</w:t>
      </w:r>
      <w:r w:rsidR="00BD1910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5</w:t>
      </w:r>
    </w:p>
    <w:p w14:paraId="7A346BF3" w14:textId="71334C58" w:rsidR="005909DE" w:rsidRPr="00233144" w:rsidRDefault="00962A81" w:rsidP="00233144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odpowiednim potencjałem technicznym i osobami zdolnymi do wykonania zamówienia – </w:t>
      </w:r>
      <w:r w:rsidR="0023314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przynajmniej jedna osoba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posiadają</w:t>
      </w:r>
      <w:r w:rsidR="0023314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ca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uprawnienia budowlane </w:t>
      </w:r>
      <w:r w:rsidR="004E1211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 specjalności konstrukcyjno-budowlanej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, których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kopie należy dołączyć do oferty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  <w:r w:rsidR="005909DE" w:rsidRPr="0023314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77777777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77777777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A789683" w14:textId="533BE442" w:rsidR="009C6209" w:rsidRPr="00167772" w:rsidRDefault="00962A81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167772">
        <w:rPr>
          <w:rFonts w:ascii="Century Gothic" w:hAnsi="Century Gothic"/>
          <w:bCs/>
          <w:sz w:val="18"/>
          <w:szCs w:val="18"/>
        </w:rPr>
        <w:t>do 30.11.2026 r, w tym:</w:t>
      </w:r>
    </w:p>
    <w:p w14:paraId="3BB09CFB" w14:textId="0D2F7255" w:rsidR="00167772" w:rsidRDefault="00167772" w:rsidP="0016777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Przegląd roczny maj 2026 dla wszystkich obiektów wskazanych w załączniku nr </w:t>
      </w:r>
      <w:r w:rsidR="0040786A">
        <w:rPr>
          <w:rFonts w:ascii="Century Gothic" w:eastAsia="Montserrat" w:hAnsi="Century Gothic" w:cs="Montserrat"/>
          <w:sz w:val="18"/>
          <w:szCs w:val="18"/>
        </w:rPr>
        <w:t>7</w:t>
      </w:r>
    </w:p>
    <w:p w14:paraId="60BE1215" w14:textId="03A2C3F5" w:rsidR="00167772" w:rsidRDefault="00167772" w:rsidP="00167772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Do 31.05.2026 r</w:t>
      </w:r>
    </w:p>
    <w:p w14:paraId="164438DE" w14:textId="2A907927" w:rsidR="00167772" w:rsidRDefault="00167772" w:rsidP="00167772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Przegląd półroczny listopad 2026 dla obiektów wskazanych w załączniku nr </w:t>
      </w:r>
      <w:r w:rsidR="0040786A">
        <w:rPr>
          <w:rFonts w:ascii="Century Gothic" w:eastAsia="Montserrat" w:hAnsi="Century Gothic" w:cs="Montserrat"/>
          <w:sz w:val="18"/>
          <w:szCs w:val="18"/>
        </w:rPr>
        <w:t>7</w:t>
      </w:r>
    </w:p>
    <w:p w14:paraId="16B88AEC" w14:textId="0BF60E1F" w:rsidR="00167772" w:rsidRDefault="00167772" w:rsidP="00167772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Do </w:t>
      </w:r>
      <w:r w:rsidR="00DE5044">
        <w:rPr>
          <w:rFonts w:ascii="Century Gothic" w:eastAsia="Montserrat" w:hAnsi="Century Gothic" w:cs="Montserrat"/>
          <w:sz w:val="18"/>
          <w:szCs w:val="18"/>
        </w:rPr>
        <w:t>30.11.2026 r</w:t>
      </w:r>
    </w:p>
    <w:p w14:paraId="7988854A" w14:textId="115E5C8B" w:rsidR="00DE5044" w:rsidRDefault="00DE5044" w:rsidP="00DE5044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Przegląd 5 letni dla obiektów wskazanych w załączniku nr </w:t>
      </w:r>
      <w:r w:rsidR="0040786A">
        <w:rPr>
          <w:rFonts w:ascii="Century Gothic" w:eastAsia="Montserrat" w:hAnsi="Century Gothic" w:cs="Montserrat"/>
          <w:sz w:val="18"/>
          <w:szCs w:val="18"/>
        </w:rPr>
        <w:t>7</w:t>
      </w:r>
    </w:p>
    <w:p w14:paraId="1CD73957" w14:textId="3F7B225F" w:rsidR="00DE5044" w:rsidRPr="00DE5044" w:rsidRDefault="00DE5044" w:rsidP="00DE5044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Do 31.05.2026 r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1F0F2770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7A957FBF" w14:textId="77777777" w:rsidR="003D134D" w:rsidRPr="00DC46E9" w:rsidRDefault="003D134D" w:rsidP="003D134D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z dnia 13 kwietnia 2022 r. o szczególnych rozwiązaniach w zakresie przeciwdziałania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lastRenderedPageBreak/>
        <w:t>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500EBF2C" w:rsidR="00E45370" w:rsidRPr="00B5738B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05B5ED30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do dnia</w:t>
      </w:r>
      <w:r w:rsidR="005817EA">
        <w:rPr>
          <w:rFonts w:ascii="Century Gothic" w:hAnsi="Century Gothic" w:cs="Calibri"/>
          <w:bCs/>
          <w:sz w:val="18"/>
          <w:szCs w:val="18"/>
        </w:rPr>
        <w:t xml:space="preserve"> </w:t>
      </w:r>
      <w:r w:rsidR="00006412">
        <w:rPr>
          <w:rFonts w:ascii="Century Gothic" w:hAnsi="Century Gothic" w:cs="Calibri"/>
          <w:bCs/>
          <w:sz w:val="18"/>
          <w:szCs w:val="18"/>
        </w:rPr>
        <w:t>01</w:t>
      </w:r>
      <w:r w:rsidR="002753D4">
        <w:rPr>
          <w:rFonts w:ascii="Century Gothic" w:hAnsi="Century Gothic" w:cs="Calibri"/>
          <w:bCs/>
          <w:sz w:val="18"/>
          <w:szCs w:val="18"/>
        </w:rPr>
        <w:t>.0</w:t>
      </w:r>
      <w:r w:rsidR="00006412">
        <w:rPr>
          <w:rFonts w:ascii="Century Gothic" w:hAnsi="Century Gothic" w:cs="Calibri"/>
          <w:bCs/>
          <w:sz w:val="18"/>
          <w:szCs w:val="18"/>
        </w:rPr>
        <w:t>4</w:t>
      </w:r>
      <w:r w:rsidR="002753D4">
        <w:rPr>
          <w:rFonts w:ascii="Century Gothic" w:hAnsi="Century Gothic" w:cs="Calibri"/>
          <w:bCs/>
          <w:sz w:val="18"/>
          <w:szCs w:val="18"/>
        </w:rPr>
        <w:t>.2026</w:t>
      </w:r>
      <w:r w:rsidR="005909DE">
        <w:rPr>
          <w:rFonts w:ascii="Century Gothic" w:hAnsi="Century Gothic" w:cs="Calibri"/>
          <w:bCs/>
          <w:sz w:val="18"/>
          <w:szCs w:val="18"/>
        </w:rPr>
        <w:t>.</w:t>
      </w:r>
      <w:r w:rsidR="005817EA">
        <w:rPr>
          <w:rFonts w:ascii="Century Gothic" w:hAnsi="Century Gothic" w:cs="Calibri"/>
          <w:bCs/>
          <w:sz w:val="18"/>
          <w:szCs w:val="18"/>
        </w:rPr>
        <w:t xml:space="preserve"> do godz. </w:t>
      </w:r>
      <w:r w:rsidR="002753D4">
        <w:rPr>
          <w:rFonts w:ascii="Century Gothic" w:hAnsi="Century Gothic" w:cs="Calibri"/>
          <w:bCs/>
          <w:sz w:val="18"/>
          <w:szCs w:val="18"/>
        </w:rPr>
        <w:t>09</w:t>
      </w:r>
      <w:r w:rsidR="005817EA">
        <w:rPr>
          <w:rFonts w:ascii="Century Gothic" w:hAnsi="Century Gothic" w:cs="Calibri"/>
          <w:bCs/>
          <w:sz w:val="18"/>
          <w:szCs w:val="18"/>
        </w:rPr>
        <w:t>:</w:t>
      </w:r>
      <w:r w:rsidR="002753D4">
        <w:rPr>
          <w:rFonts w:ascii="Century Gothic" w:hAnsi="Century Gothic" w:cs="Calibri"/>
          <w:bCs/>
          <w:sz w:val="18"/>
          <w:szCs w:val="18"/>
        </w:rPr>
        <w:t>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5909DE">
        <w:rPr>
          <w:rFonts w:ascii="Century Gothic" w:hAnsi="Century Gothic" w:cs="Calibri"/>
          <w:b/>
          <w:sz w:val="18"/>
          <w:szCs w:val="18"/>
        </w:rPr>
        <w:t>32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521D2F2" w14:textId="197C4D81" w:rsidR="005909DE" w:rsidRDefault="005909DE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Wykonawca oświadcza, że kontrole, o których mowa w opisie przedmiotu zamówienia przeprowadzą osoby uprawnione zgodnie z art. 62 ust. 4 ustawy Prawo Budowalne</w:t>
      </w:r>
    </w:p>
    <w:p w14:paraId="50B60E60" w14:textId="66AF83FE" w:rsidR="005909DE" w:rsidRDefault="00CB28D0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Protokoły sporządzone w wyniku kontroli okresowych powinny zawierać (zgodnie z art. 62a ust. 2 ustawy Prawo Budowlane</w:t>
      </w:r>
      <w:r w:rsidR="00E43A4B">
        <w:rPr>
          <w:rFonts w:ascii="Century Gothic" w:eastAsia="Arial" w:hAnsi="Century Gothic" w:cs="Calibri"/>
          <w:bCs/>
          <w:sz w:val="18"/>
          <w:szCs w:val="18"/>
        </w:rPr>
        <w:t>)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</w:p>
    <w:p w14:paraId="18121D8B" w14:textId="3BDEFBD1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Datę przeprowadzenia kontroli</w:t>
      </w:r>
    </w:p>
    <w:p w14:paraId="746F5465" w14:textId="2115D52A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Imię i nazwisko, a także numer uprawnień budowlanych wraz ze specjalnością, w której zostały wydane, osoby przeprowadzającej kontrolę oraz jej podpis;</w:t>
      </w:r>
    </w:p>
    <w:p w14:paraId="5D9F70F7" w14:textId="2428C34F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Imię i nazwisko albo nazwę właściciela lub zarządcy użytkowanego obiektu budowlanego;</w:t>
      </w:r>
    </w:p>
    <w:p w14:paraId="4AD96DFD" w14:textId="2E5A531A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lastRenderedPageBreak/>
        <w:t>Określenie kontrolowanego obiektu budowlanego umożliwiającego jego identyfikację;</w:t>
      </w:r>
    </w:p>
    <w:p w14:paraId="5A32CB02" w14:textId="794DA34B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Zakres kontroli;</w:t>
      </w:r>
    </w:p>
    <w:p w14:paraId="327E5E6C" w14:textId="76EB0EFB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Ustalenia dokonane w zakresie kontroli, w tym wskazanie nieprawidłowości, jeżeli zostały stwierdzone;</w:t>
      </w:r>
    </w:p>
    <w:p w14:paraId="6CBECD34" w14:textId="20D8E92F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Zalecenia, jeżeli zostały stwierdzone nieprawidłowości;</w:t>
      </w:r>
    </w:p>
    <w:p w14:paraId="3C767E4D" w14:textId="2E6542A5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Metody i środki użytkowania elementów obiektów budowlanych narażonych na szkodliwe działanie wpływów atmosferycznych i niszczące działanie innych czynników, w przypadku kontroli tych elementów;</w:t>
      </w:r>
    </w:p>
    <w:p w14:paraId="7DBA8CF4" w14:textId="7BF025A3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Zakres niewykonanych zaleceń określanych w protokołach z poprzednich kontroli;</w:t>
      </w:r>
    </w:p>
    <w:p w14:paraId="73721DDA" w14:textId="4E818C32" w:rsidR="00CB28D0" w:rsidRDefault="00CB28D0" w:rsidP="00CB28D0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W zaleceniach wskazuje się </w:t>
      </w:r>
    </w:p>
    <w:p w14:paraId="5AEC331A" w14:textId="2358E664" w:rsidR="00CB28D0" w:rsidRDefault="00CB28D0" w:rsidP="00CB28D0">
      <w:pPr>
        <w:pStyle w:val="Akapitzlist"/>
        <w:spacing w:after="0" w:line="360" w:lineRule="auto"/>
        <w:ind w:left="21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- czynności mające na celu usunięcie stwierdzonych nieprawidłow</w:t>
      </w:r>
      <w:r w:rsidR="005B1DE8">
        <w:rPr>
          <w:rFonts w:ascii="Century Gothic" w:eastAsia="Arial" w:hAnsi="Century Gothic" w:cs="Calibri"/>
          <w:bCs/>
          <w:sz w:val="18"/>
          <w:szCs w:val="18"/>
        </w:rPr>
        <w:t>o</w:t>
      </w:r>
      <w:r>
        <w:rPr>
          <w:rFonts w:ascii="Century Gothic" w:eastAsia="Arial" w:hAnsi="Century Gothic" w:cs="Calibri"/>
          <w:bCs/>
          <w:sz w:val="18"/>
          <w:szCs w:val="18"/>
        </w:rPr>
        <w:t>ści;</w:t>
      </w:r>
    </w:p>
    <w:p w14:paraId="49F89EBC" w14:textId="07856EFF" w:rsidR="00CB28D0" w:rsidRPr="00CB28D0" w:rsidRDefault="00CB28D0" w:rsidP="00CB28D0">
      <w:pPr>
        <w:pStyle w:val="Akapitzlist"/>
        <w:spacing w:after="0" w:line="360" w:lineRule="auto"/>
        <w:ind w:left="21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- termin wykonania czynności, o których mowa w pkt.1</w:t>
      </w:r>
    </w:p>
    <w:p w14:paraId="0570FF4A" w14:textId="76E1E444" w:rsidR="00CB28D0" w:rsidRDefault="00CB28D0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Wykonawca przedłoży zamawiającemu wzór protokołu przeglądu do akceptacji w terminach przedstawionych we </w:t>
      </w:r>
      <w:r w:rsidR="00234D42">
        <w:rPr>
          <w:rFonts w:ascii="Century Gothic" w:eastAsia="Arial" w:hAnsi="Century Gothic" w:cs="Calibri"/>
          <w:bCs/>
          <w:sz w:val="18"/>
          <w:szCs w:val="18"/>
        </w:rPr>
        <w:t>wzorze Umowy;</w:t>
      </w:r>
    </w:p>
    <w:p w14:paraId="52FF0D85" w14:textId="18EB1919" w:rsidR="00234D42" w:rsidRDefault="00234D42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Wykonawca dostarczy protokoły z kontroli okresowych sporządzone dla każdego obiektu oddzielnie:</w:t>
      </w:r>
    </w:p>
    <w:p w14:paraId="0E2E8AC8" w14:textId="2AE6F6B0" w:rsidR="00234D42" w:rsidRDefault="00234D42" w:rsidP="00234D42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 2 egzemplarzach papierowych;</w:t>
      </w:r>
    </w:p>
    <w:p w14:paraId="79927C80" w14:textId="39B9A526" w:rsidR="00234D42" w:rsidRDefault="00234D42" w:rsidP="00234D42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 1 egzemplarzu elektronicznym jako skan z podpisami (egzemplarz elektroniczny może zostać dostarczony drogą mailową) – na każdy obiekt oddzielny plik;</w:t>
      </w:r>
    </w:p>
    <w:p w14:paraId="5E219144" w14:textId="5EB2917A" w:rsidR="00234D42" w:rsidRDefault="00234D42" w:rsidP="00234D42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Zamawiający dopuszcza przesłanie protokołów do sprawdzenia droga mailową;</w:t>
      </w:r>
    </w:p>
    <w:p w14:paraId="0383D11D" w14:textId="751BA840" w:rsidR="00234D42" w:rsidRDefault="00234D42" w:rsidP="00234D4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Do protokołów Wykonawca dołączy kopie decyzji o nadaniu uprawnień budowlanych w odpowiedniej specjalności oraz kopie zaświadczeń o przynależności do izby samorządu zawodowego lub innych uprawnień lub kwalifikacji pozwalających na wykonanie przedmiotu zamówienia;</w:t>
      </w:r>
    </w:p>
    <w:p w14:paraId="4112A705" w14:textId="33AFF421" w:rsidR="00234D42" w:rsidRDefault="00234D42" w:rsidP="00234D4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Zamawiający zobowiązuje się udostępnić posiada</w:t>
      </w:r>
      <w:r w:rsidR="005B1DE8">
        <w:rPr>
          <w:rFonts w:ascii="Century Gothic" w:eastAsia="Arial" w:hAnsi="Century Gothic" w:cs="Calibri"/>
          <w:bCs/>
          <w:sz w:val="18"/>
          <w:szCs w:val="18"/>
        </w:rPr>
        <w:t>ną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dokumentację techniczną budynków, książki obiektów i dokumenty z poprzednich przeglądów okresowych oraz zapewnić możliwość dokonania oględzin obiektów w okresie niezbędnym do wykonania pracy;</w:t>
      </w:r>
    </w:p>
    <w:p w14:paraId="28D0A1E0" w14:textId="52F960DB" w:rsidR="00234D42" w:rsidRDefault="00234D42" w:rsidP="00234D4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Podmiot przeprowadzający kontrolę jest zobowiązany bezzwłocznie pisemnie zawiadomić PINB w Gdańsku o przeprowadzonej kontroli, a kopię zawiadomienia przedłożyć Zamawiającemu wraz z potwierdzoną datą odbioru przez adresata;</w:t>
      </w:r>
    </w:p>
    <w:p w14:paraId="440594FD" w14:textId="2BBD1B92" w:rsidR="00234D42" w:rsidRDefault="00234D42" w:rsidP="00234D4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Przeglądy budynków powinny być wykonane m. in. zgodnie z wymaganiami określonymi w:</w:t>
      </w:r>
    </w:p>
    <w:p w14:paraId="10D77A99" w14:textId="697A316F" w:rsidR="00234D42" w:rsidRDefault="00234D42" w:rsidP="00234D42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Prawo Budowlane – Ustawa z dnia 7 lipca 1994 (Dz. U. 2025 poz. 418 tekst jednolity z późn, zmianami)</w:t>
      </w:r>
    </w:p>
    <w:p w14:paraId="0FC751EF" w14:textId="440340A7" w:rsidR="00234D42" w:rsidRPr="00234D42" w:rsidRDefault="00234D42" w:rsidP="00234D42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Rozporządzenie Ministra Infrastruktury z dnia 12 kwietnia 2002 w sprawie warunków technicznych jakim powinny odpowiadać budynki i ich usytuowanie (Dz. U. 2022 poz. 1225 z późn. zmianami</w:t>
      </w:r>
    </w:p>
    <w:p w14:paraId="7C67E820" w14:textId="43E6CD9D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>Sekcji Budowlanej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</w:p>
    <w:p w14:paraId="3940FC13" w14:textId="70066134" w:rsidR="00AA2C0F" w:rsidRDefault="00962A81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</w:t>
      </w:r>
      <w:r w:rsidR="00EC6544">
        <w:rPr>
          <w:rFonts w:ascii="Century Gothic" w:eastAsia="Arial" w:hAnsi="Century Gothic" w:cs="Calibri"/>
          <w:bCs/>
          <w:sz w:val="18"/>
          <w:szCs w:val="18"/>
        </w:rPr>
        <w:t>umowy: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Monika Machalska email: monika.machalska@gumed.edu.pl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430C3D72" w:rsidR="005817EA" w:rsidRPr="005817EA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479E0BF7" w14:textId="62C1A370" w:rsidR="005817EA" w:rsidRPr="00CA49CD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7 – </w:t>
      </w:r>
      <w:r w:rsidR="005B1DE8">
        <w:rPr>
          <w:rFonts w:ascii="Century Gothic" w:eastAsia="Arial" w:hAnsi="Century Gothic" w:cs="Calibri"/>
          <w:bCs/>
          <w:sz w:val="18"/>
          <w:szCs w:val="18"/>
        </w:rPr>
        <w:t>Wykaz obiektów do przeglądu 2026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21F3FB43" w14:textId="05433963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5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20C97E7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82C317E" w14:textId="77777777" w:rsidR="002B29CA" w:rsidRPr="00241E8B" w:rsidRDefault="00962A81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19E0154F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D94395">
        <w:rPr>
          <w:rFonts w:ascii="Century Gothic" w:eastAsia="Arial" w:hAnsi="Century Gothic" w:cs="Calibri"/>
          <w:b/>
          <w:color w:val="000000"/>
          <w:sz w:val="18"/>
          <w:szCs w:val="18"/>
        </w:rPr>
        <w:t>32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5340D14C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AA2C0F" w:rsidRPr="00AA2C0F">
        <w:rPr>
          <w:rFonts w:ascii="Century Gothic" w:eastAsia="Times New Roman" w:hAnsi="Century Gothic" w:cs="Times New Roman"/>
          <w:sz w:val="18"/>
          <w:szCs w:val="18"/>
        </w:rPr>
        <w:t xml:space="preserve">wykonania </w:t>
      </w:r>
      <w:r w:rsidR="00D94395">
        <w:rPr>
          <w:rFonts w:ascii="Century Gothic" w:eastAsia="Times New Roman" w:hAnsi="Century Gothic" w:cs="Times New Roman"/>
          <w:sz w:val="18"/>
          <w:szCs w:val="18"/>
        </w:rPr>
        <w:t>okresowej kontroli budynków i obiektów budowalnych Gdańskiego Uniwersytetu Medycznego, zlokalizowanych w Gdańsku oraz Gdyni, polegającej na sprawdzeniu stanu technicznego zgodnie z art. 62 ust. 1 pkt. 1 a, b, c, pkt. 2, pkt. 3 ustawy Prawo Budowalne</w:t>
      </w:r>
    </w:p>
    <w:p w14:paraId="3A7CFD4F" w14:textId="2573C49F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9E628D">
        <w:rPr>
          <w:rFonts w:ascii="Century Gothic" w:eastAsia="Arial" w:hAnsi="Century Gothic" w:cs="Calibri"/>
          <w:sz w:val="18"/>
          <w:szCs w:val="18"/>
        </w:rPr>
        <w:t>32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20"/>
        <w:gridCol w:w="2469"/>
        <w:gridCol w:w="1825"/>
        <w:gridCol w:w="1070"/>
        <w:gridCol w:w="1198"/>
        <w:gridCol w:w="1696"/>
      </w:tblGrid>
      <w:tr w:rsidR="008355D2" w14:paraId="36F3EDAC" w14:textId="77777777" w:rsidTr="008355D2">
        <w:tc>
          <w:tcPr>
            <w:tcW w:w="520" w:type="dxa"/>
            <w:shd w:val="clear" w:color="auto" w:fill="D9D9D9" w:themeFill="background1" w:themeFillShade="D9"/>
          </w:tcPr>
          <w:p w14:paraId="4A32BC10" w14:textId="6509C12B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Lp.</w:t>
            </w:r>
          </w:p>
        </w:tc>
        <w:tc>
          <w:tcPr>
            <w:tcW w:w="2469" w:type="dxa"/>
            <w:shd w:val="clear" w:color="auto" w:fill="D9D9D9" w:themeFill="background1" w:themeFillShade="D9"/>
          </w:tcPr>
          <w:p w14:paraId="17659851" w14:textId="02917F0E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Zakres usługi</w:t>
            </w:r>
          </w:p>
        </w:tc>
        <w:tc>
          <w:tcPr>
            <w:tcW w:w="1825" w:type="dxa"/>
            <w:shd w:val="clear" w:color="auto" w:fill="D9D9D9" w:themeFill="background1" w:themeFillShade="D9"/>
          </w:tcPr>
          <w:p w14:paraId="2F91217C" w14:textId="2B5F12EA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Cena netto (PLN)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14:paraId="6DBE6584" w14:textId="38251BA8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Stawka Vat (%)</w:t>
            </w:r>
          </w:p>
        </w:tc>
        <w:tc>
          <w:tcPr>
            <w:tcW w:w="1198" w:type="dxa"/>
            <w:shd w:val="clear" w:color="auto" w:fill="D9D9D9" w:themeFill="background1" w:themeFillShade="D9"/>
          </w:tcPr>
          <w:p w14:paraId="3C496021" w14:textId="51CF08AC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Kwota Vat (PLN)</w:t>
            </w:r>
          </w:p>
        </w:tc>
        <w:tc>
          <w:tcPr>
            <w:tcW w:w="1696" w:type="dxa"/>
            <w:shd w:val="clear" w:color="auto" w:fill="D9D9D9" w:themeFill="background1" w:themeFillShade="D9"/>
          </w:tcPr>
          <w:p w14:paraId="65F9B079" w14:textId="09800D9A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Cena brutto (PLN)</w:t>
            </w:r>
          </w:p>
        </w:tc>
      </w:tr>
      <w:tr w:rsidR="008355D2" w14:paraId="083E5C39" w14:textId="77777777" w:rsidTr="008355D2">
        <w:tc>
          <w:tcPr>
            <w:tcW w:w="520" w:type="dxa"/>
          </w:tcPr>
          <w:p w14:paraId="46F19F8C" w14:textId="7B8CA117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355D2">
              <w:rPr>
                <w:rFonts w:ascii="Century Gothic" w:eastAsia="Arial" w:hAnsi="Century Gothic" w:cs="Calibri"/>
                <w:sz w:val="18"/>
                <w:szCs w:val="18"/>
              </w:rPr>
              <w:t>1.</w:t>
            </w:r>
          </w:p>
        </w:tc>
        <w:tc>
          <w:tcPr>
            <w:tcW w:w="2469" w:type="dxa"/>
          </w:tcPr>
          <w:p w14:paraId="3E82A350" w14:textId="513C711F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355D2">
              <w:rPr>
                <w:rFonts w:ascii="Century Gothic" w:eastAsia="Arial" w:hAnsi="Century Gothic" w:cs="Calibri"/>
                <w:sz w:val="18"/>
                <w:szCs w:val="18"/>
              </w:rPr>
              <w:t>Przeglądy wykonane do 31.05.2026</w:t>
            </w:r>
          </w:p>
        </w:tc>
        <w:tc>
          <w:tcPr>
            <w:tcW w:w="1825" w:type="dxa"/>
          </w:tcPr>
          <w:p w14:paraId="34C00BA8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468BEC78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198" w:type="dxa"/>
          </w:tcPr>
          <w:p w14:paraId="00FB9987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696" w:type="dxa"/>
          </w:tcPr>
          <w:p w14:paraId="4F3D9307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8355D2" w14:paraId="432D9700" w14:textId="77777777" w:rsidTr="008355D2">
        <w:tc>
          <w:tcPr>
            <w:tcW w:w="520" w:type="dxa"/>
          </w:tcPr>
          <w:p w14:paraId="5B64AC21" w14:textId="3F2A9E80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355D2">
              <w:rPr>
                <w:rFonts w:ascii="Century Gothic" w:eastAsia="Arial" w:hAnsi="Century Gothic" w:cs="Calibri"/>
                <w:sz w:val="18"/>
                <w:szCs w:val="18"/>
              </w:rPr>
              <w:t>2.</w:t>
            </w:r>
          </w:p>
        </w:tc>
        <w:tc>
          <w:tcPr>
            <w:tcW w:w="2469" w:type="dxa"/>
          </w:tcPr>
          <w:p w14:paraId="402C5B62" w14:textId="2E29D987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355D2">
              <w:rPr>
                <w:rFonts w:ascii="Century Gothic" w:eastAsia="Arial" w:hAnsi="Century Gothic" w:cs="Calibri"/>
                <w:sz w:val="18"/>
                <w:szCs w:val="18"/>
              </w:rPr>
              <w:t>Przeglądy wykonane do 30.11.2026</w:t>
            </w:r>
          </w:p>
        </w:tc>
        <w:tc>
          <w:tcPr>
            <w:tcW w:w="1825" w:type="dxa"/>
          </w:tcPr>
          <w:p w14:paraId="00BA9FF0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12966BCB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198" w:type="dxa"/>
          </w:tcPr>
          <w:p w14:paraId="2FB207AA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696" w:type="dxa"/>
          </w:tcPr>
          <w:p w14:paraId="5BDCDD95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8355D2" w14:paraId="6E991C73" w14:textId="77777777" w:rsidTr="008355D2">
        <w:trPr>
          <w:trHeight w:val="552"/>
        </w:trPr>
        <w:tc>
          <w:tcPr>
            <w:tcW w:w="2989" w:type="dxa"/>
            <w:gridSpan w:val="2"/>
          </w:tcPr>
          <w:p w14:paraId="66FB51C9" w14:textId="5EE0CB01" w:rsidR="008355D2" w:rsidRP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8355D2">
              <w:rPr>
                <w:rFonts w:ascii="Century Gothic" w:eastAsia="Arial" w:hAnsi="Century Gothic" w:cs="Calibri"/>
                <w:b/>
                <w:bCs/>
              </w:rPr>
              <w:t>Łączna wartość oferty</w:t>
            </w:r>
          </w:p>
        </w:tc>
        <w:tc>
          <w:tcPr>
            <w:tcW w:w="1825" w:type="dxa"/>
          </w:tcPr>
          <w:p w14:paraId="527D7212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318E0584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198" w:type="dxa"/>
          </w:tcPr>
          <w:p w14:paraId="30765ECA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696" w:type="dxa"/>
          </w:tcPr>
          <w:p w14:paraId="481F29F3" w14:textId="77777777" w:rsidR="008355D2" w:rsidRDefault="008355D2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3319E69F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2BDEDB08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859B13" w14:textId="639AE138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BF1FD3" w14:textId="0A34AC82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CABC50" w14:textId="79A70EAB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EAAC83" w14:textId="7DE8D0C3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9DCB5D" w14:textId="2B8F98CF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EE617DD" w14:textId="77777777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142B69" w14:textId="77777777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0A78C6B9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E628D">
        <w:rPr>
          <w:rFonts w:ascii="Century Gothic" w:hAnsi="Century Gothic" w:cs="Calibri"/>
          <w:b/>
          <w:sz w:val="18"/>
          <w:szCs w:val="18"/>
        </w:rPr>
        <w:t>32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56A69BE5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E628D">
        <w:rPr>
          <w:rFonts w:ascii="Century Gothic" w:hAnsi="Century Gothic" w:cs="Calibri"/>
          <w:b/>
          <w:sz w:val="18"/>
          <w:szCs w:val="18"/>
        </w:rPr>
        <w:t>32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F975E37" w14:textId="5FD1C49F" w:rsidR="004F4DFB" w:rsidRPr="009E628D" w:rsidRDefault="00962A81" w:rsidP="004F4DFB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Pr="00AA2C0F">
        <w:rPr>
          <w:rFonts w:ascii="Century Gothic" w:eastAsia="Times New Roman" w:hAnsi="Century Gothic" w:cs="Times New Roman"/>
          <w:sz w:val="18"/>
          <w:szCs w:val="18"/>
        </w:rPr>
        <w:t>wykonania</w:t>
      </w:r>
      <w:r w:rsidR="009E628D">
        <w:rPr>
          <w:rFonts w:ascii="Century Gothic" w:eastAsia="Times New Roman" w:hAnsi="Century Gothic" w:cs="Times New Roman"/>
          <w:sz w:val="18"/>
          <w:szCs w:val="18"/>
        </w:rPr>
        <w:t xml:space="preserve"> okresowej kontroli budynków i obiektów budowalnych Gdańskiego Uniwersytetu Medycznego, zlokalizowanych w Gdańsku oraz Gdyni, polegającej na sprawdzeniu stanu technicznego zgodnie z art. 62 ust. 1 pkt. 1 a, b, c, pkt. 2, pkt. 3 ustawy Prawo Budowalne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C9B101D" w14:textId="63C617CD" w:rsidR="009E628D" w:rsidRPr="009E628D" w:rsidRDefault="00962A81" w:rsidP="009E628D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1363685F" w14:textId="77777777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B54F3B1" w14:textId="26EDCACF" w:rsidR="00AD4777" w:rsidRPr="004F4DFB" w:rsidRDefault="00962A81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EE1F14">
        <w:rPr>
          <w:rFonts w:ascii="Century Gothic" w:eastAsia="Times New Roman" w:hAnsi="Century Gothic" w:cs="Times New Roman"/>
          <w:sz w:val="18"/>
          <w:szCs w:val="18"/>
        </w:rPr>
        <w:t xml:space="preserve"> usługi polegającej na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9E628D">
        <w:rPr>
          <w:rFonts w:ascii="Century Gothic" w:eastAsia="Times New Roman" w:hAnsi="Century Gothic" w:cs="Times New Roman"/>
          <w:sz w:val="18"/>
          <w:szCs w:val="18"/>
        </w:rPr>
        <w:t>wykonaniu okresowej kontroli budynków i obiektów budowalnych Gdańskiego Uniwersytetu Medycznego, zlokalizowanych w Gdańsku oraz Gdyni, polegającej na sprawdzeniu stanu technicznego zgodnie z art. 62 ust. 1 pkt. 1 a, b, c, pkt. 2, pkt. 3 ustawy Prawo Budowalne</w:t>
      </w:r>
    </w:p>
    <w:p w14:paraId="0515B980" w14:textId="35CBA9E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E628D">
        <w:rPr>
          <w:rFonts w:ascii="Century Gothic" w:hAnsi="Century Gothic" w:cstheme="minorHAnsi"/>
          <w:b/>
          <w:sz w:val="18"/>
          <w:szCs w:val="18"/>
        </w:rPr>
        <w:t>32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default" r:id="rId12"/>
          <w:footerReference w:type="default" r:id="rId13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902C58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val="x-none" w:eastAsia="x-none"/>
        </w:rPr>
      </w:pPr>
    </w:p>
    <w:p w14:paraId="7B72278A" w14:textId="28C00B16" w:rsidR="0087724E" w:rsidRPr="009E628D" w:rsidRDefault="009E628D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9E628D">
        <w:rPr>
          <w:rFonts w:ascii="Century Gothic" w:eastAsia="Times New Roman" w:hAnsi="Century Gothic" w:cs="Times New Roman"/>
          <w:b/>
          <w:bCs/>
          <w:sz w:val="18"/>
          <w:szCs w:val="18"/>
        </w:rPr>
        <w:t>Wykonanie okresowej kontroli budynków i obiektów budowalnych Gdańskiego Uniwersytetu Medycznego, zlokalizowanych w Gdańsku oraz Gdyni, polegającej na sprawdzeniu stanu technicznego zgodnie z art. 62 ust. 1 pkt. 1 a, b, c, pkt. 2, pkt. 3 ustawy Prawo Budowalne</w:t>
      </w:r>
    </w:p>
    <w:p w14:paraId="6A760FC6" w14:textId="77777777" w:rsidR="009E628D" w:rsidRPr="00902C58" w:rsidRDefault="009E628D" w:rsidP="003769F0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6563CF11" w14:textId="6332A3BA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9E628D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32</w:t>
      </w:r>
      <w:r w:rsid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410BBBC8" w14:textId="77777777" w:rsidR="00AF5DE8" w:rsidRPr="00902C58" w:rsidRDefault="00AF5DE8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7A2FC41D" w14:textId="77777777" w:rsidR="003769F0" w:rsidRPr="00902C58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4A2DACE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9E628D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32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/ZZ/2026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63B06E18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Ilość obiektów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58F46450" w14:textId="77777777" w:rsidR="003769F0" w:rsidRPr="00902C58" w:rsidRDefault="003769F0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Batang" w:hAnsi="Century Gothic" w:cs="Calibri"/>
          <w:sz w:val="18"/>
          <w:szCs w:val="18"/>
          <w:lang w:eastAsia="pl-PL"/>
        </w:rPr>
      </w:pPr>
    </w:p>
    <w:p w14:paraId="32B92F40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>W załączeniu</w:t>
      </w:r>
      <w:r w:rsidRPr="00902C58">
        <w:rPr>
          <w:rFonts w:ascii="Century Gothic" w:eastAsia="Batang" w:hAnsi="Century Gothic" w:cs="Calibri"/>
          <w:b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przedstawiam dowody, określające, czy </w:t>
      </w:r>
      <w:r w:rsidR="00D90FC1" w:rsidRPr="00902C58">
        <w:rPr>
          <w:rFonts w:ascii="Century Gothic" w:eastAsia="Batang" w:hAnsi="Century Gothic" w:cs="Calibri"/>
          <w:sz w:val="18"/>
          <w:szCs w:val="18"/>
          <w:lang w:eastAsia="pl-PL"/>
        </w:rPr>
        <w:t>usługi</w:t>
      </w:r>
      <w:r w:rsidR="00D90FC1" w:rsidRPr="00902C58">
        <w:rPr>
          <w:rFonts w:ascii="Century Gothic" w:eastAsia="Batang" w:hAnsi="Century Gothic" w:cs="Calibri"/>
          <w:color w:val="FF0000"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te zostały wykonane należycie, zgodnie z przepisami prawa budowlanego i prawidłowo ukończone. </w:t>
      </w:r>
      <w:r w:rsidRPr="00902C58">
        <w:rPr>
          <w:rFonts w:ascii="Century Gothic" w:eastAsia="Times New Roman" w:hAnsi="Century Gothic" w:cs="Calibri"/>
          <w:b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</w:t>
      </w:r>
    </w:p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77777777" w:rsidR="00711A91" w:rsidRPr="000C0E18" w:rsidRDefault="00AE0656" w:rsidP="00AE0656">
      <w:pPr>
        <w:pStyle w:val="Nagwek2"/>
        <w:tabs>
          <w:tab w:val="left" w:pos="552"/>
          <w:tab w:val="left" w:pos="1170"/>
          <w:tab w:val="right" w:pos="14570"/>
        </w:tabs>
        <w:spacing w:before="0"/>
        <w:jc w:val="lef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43B45AF9" w14:textId="0AD6F245" w:rsidR="000727F2" w:rsidRPr="009E628D" w:rsidRDefault="009E628D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  <w:r w:rsidRPr="009E628D">
        <w:rPr>
          <w:rFonts w:ascii="Century Gothic" w:eastAsia="Times New Roman" w:hAnsi="Century Gothic" w:cs="Times New Roman"/>
          <w:b/>
          <w:bCs/>
          <w:sz w:val="18"/>
          <w:szCs w:val="18"/>
        </w:rPr>
        <w:t>Wykonanie okresowej kontroli budynków i obiektów budowalnych Gdańskiego Uniwersytetu Medycznego, zlokalizowanych w Gdańsku oraz Gdyni, polegającej na sprawdzeniu stanu technicznego zgodnie z art. 62 ust. 1 pkt. 1 a, b, c, pkt. 2, pkt. 3 ustawy Prawo Budowalne</w:t>
      </w: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460E832A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9E628D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32</w:t>
      </w:r>
      <w:r w:rsid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0A3666D8" w:rsidR="00441CA4" w:rsidRPr="000C0E18" w:rsidRDefault="004E1211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Uprawnienia budowlane w specjalności konstrukcyjno-budowlanej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3C122E9A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35CAB1C2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2E509" w14:textId="77777777" w:rsidR="00AD6F68" w:rsidRDefault="00AD6F68">
      <w:pPr>
        <w:spacing w:after="0" w:line="240" w:lineRule="auto"/>
      </w:pPr>
      <w:r>
        <w:separator/>
      </w:r>
    </w:p>
  </w:endnote>
  <w:endnote w:type="continuationSeparator" w:id="0">
    <w:p w14:paraId="4EB00F4F" w14:textId="77777777" w:rsidR="00AD6F68" w:rsidRDefault="00AD6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01D7" w14:textId="77777777" w:rsidR="00AD6F68" w:rsidRDefault="00AD6F68" w:rsidP="00204492">
      <w:pPr>
        <w:spacing w:after="0" w:line="240" w:lineRule="auto"/>
      </w:pPr>
      <w:r>
        <w:separator/>
      </w:r>
    </w:p>
  </w:footnote>
  <w:footnote w:type="continuationSeparator" w:id="0">
    <w:p w14:paraId="24189674" w14:textId="77777777" w:rsidR="00AD6F68" w:rsidRDefault="00AD6F68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6C54F74E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59F097DD" w:rsidR="00B071BB" w:rsidRDefault="006360A2" w:rsidP="006360A2">
    <w:pPr>
      <w:pStyle w:val="Nagwek"/>
    </w:pPr>
    <w:r>
      <w:rPr>
        <w:noProof/>
      </w:rPr>
      <w:drawing>
        <wp:inline distT="0" distB="0" distL="0" distR="0" wp14:anchorId="7DFEE5A1" wp14:editId="36BC445B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9C9"/>
    <w:multiLevelType w:val="hybridMultilevel"/>
    <w:tmpl w:val="1406B2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D692AD9"/>
    <w:multiLevelType w:val="hybridMultilevel"/>
    <w:tmpl w:val="FA90F5B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9C26AB2"/>
    <w:multiLevelType w:val="hybridMultilevel"/>
    <w:tmpl w:val="D9E0F2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8E46F5"/>
    <w:multiLevelType w:val="hybridMultilevel"/>
    <w:tmpl w:val="E75656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B07D3"/>
    <w:multiLevelType w:val="hybridMultilevel"/>
    <w:tmpl w:val="A4FA90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6139D"/>
    <w:multiLevelType w:val="hybridMultilevel"/>
    <w:tmpl w:val="3B7A2A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7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9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2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724A3E9C"/>
    <w:multiLevelType w:val="hybridMultilevel"/>
    <w:tmpl w:val="2CB453BC"/>
    <w:lvl w:ilvl="0" w:tplc="C11CEF56">
      <w:start w:val="1"/>
      <w:numFmt w:val="lowerLetter"/>
      <w:lvlText w:val="%1)"/>
      <w:lvlJc w:val="left"/>
      <w:pPr>
        <w:ind w:left="1020" w:hanging="360"/>
      </w:pPr>
    </w:lvl>
    <w:lvl w:ilvl="1" w:tplc="7E6EA542">
      <w:start w:val="1"/>
      <w:numFmt w:val="lowerLetter"/>
      <w:lvlText w:val="%2)"/>
      <w:lvlJc w:val="left"/>
      <w:pPr>
        <w:ind w:left="1020" w:hanging="360"/>
      </w:pPr>
    </w:lvl>
    <w:lvl w:ilvl="2" w:tplc="418CF4AA">
      <w:start w:val="1"/>
      <w:numFmt w:val="lowerLetter"/>
      <w:lvlText w:val="%3)"/>
      <w:lvlJc w:val="left"/>
      <w:pPr>
        <w:ind w:left="1020" w:hanging="360"/>
      </w:pPr>
    </w:lvl>
    <w:lvl w:ilvl="3" w:tplc="D8668146">
      <w:start w:val="1"/>
      <w:numFmt w:val="lowerLetter"/>
      <w:lvlText w:val="%4)"/>
      <w:lvlJc w:val="left"/>
      <w:pPr>
        <w:ind w:left="1020" w:hanging="360"/>
      </w:pPr>
    </w:lvl>
    <w:lvl w:ilvl="4" w:tplc="F9A4CEB4">
      <w:start w:val="1"/>
      <w:numFmt w:val="lowerLetter"/>
      <w:lvlText w:val="%5)"/>
      <w:lvlJc w:val="left"/>
      <w:pPr>
        <w:ind w:left="1020" w:hanging="360"/>
      </w:pPr>
    </w:lvl>
    <w:lvl w:ilvl="5" w:tplc="455096F2">
      <w:start w:val="1"/>
      <w:numFmt w:val="lowerLetter"/>
      <w:lvlText w:val="%6)"/>
      <w:lvlJc w:val="left"/>
      <w:pPr>
        <w:ind w:left="1020" w:hanging="360"/>
      </w:pPr>
    </w:lvl>
    <w:lvl w:ilvl="6" w:tplc="25A6D918">
      <w:start w:val="1"/>
      <w:numFmt w:val="lowerLetter"/>
      <w:lvlText w:val="%7)"/>
      <w:lvlJc w:val="left"/>
      <w:pPr>
        <w:ind w:left="1020" w:hanging="360"/>
      </w:pPr>
    </w:lvl>
    <w:lvl w:ilvl="7" w:tplc="15DC1540">
      <w:start w:val="1"/>
      <w:numFmt w:val="lowerLetter"/>
      <w:lvlText w:val="%8)"/>
      <w:lvlJc w:val="left"/>
      <w:pPr>
        <w:ind w:left="1020" w:hanging="360"/>
      </w:pPr>
    </w:lvl>
    <w:lvl w:ilvl="8" w:tplc="A27E3C22">
      <w:start w:val="1"/>
      <w:numFmt w:val="lowerLetter"/>
      <w:lvlText w:val="%9)"/>
      <w:lvlJc w:val="left"/>
      <w:pPr>
        <w:ind w:left="1020" w:hanging="360"/>
      </w:pPr>
    </w:lvl>
  </w:abstractNum>
  <w:abstractNum w:abstractNumId="54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10"/>
  </w:num>
  <w:num w:numId="4">
    <w:abstractNumId w:val="36"/>
  </w:num>
  <w:num w:numId="5">
    <w:abstractNumId w:val="31"/>
  </w:num>
  <w:num w:numId="6">
    <w:abstractNumId w:val="2"/>
  </w:num>
  <w:num w:numId="7">
    <w:abstractNumId w:val="32"/>
  </w:num>
  <w:num w:numId="8">
    <w:abstractNumId w:val="51"/>
  </w:num>
  <w:num w:numId="9">
    <w:abstractNumId w:val="47"/>
  </w:num>
  <w:num w:numId="10">
    <w:abstractNumId w:val="24"/>
  </w:num>
  <w:num w:numId="11">
    <w:abstractNumId w:val="11"/>
  </w:num>
  <w:num w:numId="12">
    <w:abstractNumId w:val="39"/>
  </w:num>
  <w:num w:numId="13">
    <w:abstractNumId w:val="40"/>
  </w:num>
  <w:num w:numId="14">
    <w:abstractNumId w:val="19"/>
  </w:num>
  <w:num w:numId="15">
    <w:abstractNumId w:val="13"/>
  </w:num>
  <w:num w:numId="16">
    <w:abstractNumId w:val="20"/>
  </w:num>
  <w:num w:numId="17">
    <w:abstractNumId w:val="33"/>
  </w:num>
  <w:num w:numId="18">
    <w:abstractNumId w:val="30"/>
  </w:num>
  <w:num w:numId="19">
    <w:abstractNumId w:val="1"/>
  </w:num>
  <w:num w:numId="20">
    <w:abstractNumId w:val="23"/>
  </w:num>
  <w:num w:numId="21">
    <w:abstractNumId w:val="41"/>
  </w:num>
  <w:num w:numId="22">
    <w:abstractNumId w:val="9"/>
  </w:num>
  <w:num w:numId="23">
    <w:abstractNumId w:val="3"/>
  </w:num>
  <w:num w:numId="24">
    <w:abstractNumId w:val="4"/>
  </w:num>
  <w:num w:numId="25">
    <w:abstractNumId w:val="37"/>
  </w:num>
  <w:num w:numId="26">
    <w:abstractNumId w:val="43"/>
  </w:num>
  <w:num w:numId="27">
    <w:abstractNumId w:val="48"/>
  </w:num>
  <w:num w:numId="28">
    <w:abstractNumId w:val="7"/>
  </w:num>
  <w:num w:numId="29">
    <w:abstractNumId w:val="34"/>
  </w:num>
  <w:num w:numId="30">
    <w:abstractNumId w:val="45"/>
  </w:num>
  <w:num w:numId="31">
    <w:abstractNumId w:val="17"/>
  </w:num>
  <w:num w:numId="32">
    <w:abstractNumId w:val="25"/>
  </w:num>
  <w:num w:numId="33">
    <w:abstractNumId w:val="6"/>
  </w:num>
  <w:num w:numId="34">
    <w:abstractNumId w:val="50"/>
  </w:num>
  <w:num w:numId="35">
    <w:abstractNumId w:val="27"/>
  </w:num>
  <w:num w:numId="36">
    <w:abstractNumId w:val="8"/>
  </w:num>
  <w:num w:numId="37">
    <w:abstractNumId w:val="54"/>
  </w:num>
  <w:num w:numId="38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</w:num>
  <w:num w:numId="40">
    <w:abstractNumId w:val="12"/>
  </w:num>
  <w:num w:numId="41">
    <w:abstractNumId w:val="16"/>
  </w:num>
  <w:num w:numId="42">
    <w:abstractNumId w:val="42"/>
  </w:num>
  <w:num w:numId="43">
    <w:abstractNumId w:val="35"/>
  </w:num>
  <w:num w:numId="44">
    <w:abstractNumId w:val="29"/>
  </w:num>
  <w:num w:numId="45">
    <w:abstractNumId w:val="52"/>
  </w:num>
  <w:num w:numId="46">
    <w:abstractNumId w:val="46"/>
  </w:num>
  <w:num w:numId="47">
    <w:abstractNumId w:val="22"/>
  </w:num>
  <w:num w:numId="48">
    <w:abstractNumId w:val="38"/>
  </w:num>
  <w:num w:numId="49">
    <w:abstractNumId w:val="18"/>
  </w:num>
  <w:num w:numId="50">
    <w:abstractNumId w:val="14"/>
  </w:num>
  <w:num w:numId="51">
    <w:abstractNumId w:val="5"/>
  </w:num>
  <w:num w:numId="52">
    <w:abstractNumId w:val="26"/>
  </w:num>
  <w:num w:numId="53">
    <w:abstractNumId w:val="0"/>
  </w:num>
  <w:num w:numId="54">
    <w:abstractNumId w:val="21"/>
  </w:num>
  <w:num w:numId="55">
    <w:abstractNumId w:val="28"/>
  </w:num>
  <w:num w:numId="56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06412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860CC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D603C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3144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38F8"/>
    <w:rsid w:val="00265C56"/>
    <w:rsid w:val="002702E7"/>
    <w:rsid w:val="00270C3F"/>
    <w:rsid w:val="00273392"/>
    <w:rsid w:val="002753D4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264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3D5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134D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11AC"/>
    <w:rsid w:val="00506981"/>
    <w:rsid w:val="005102D8"/>
    <w:rsid w:val="005174A3"/>
    <w:rsid w:val="005201DD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63F9"/>
    <w:rsid w:val="007D1B8A"/>
    <w:rsid w:val="007D275C"/>
    <w:rsid w:val="007D461F"/>
    <w:rsid w:val="007D7D9F"/>
    <w:rsid w:val="007E0025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3030D"/>
    <w:rsid w:val="00831413"/>
    <w:rsid w:val="008355D2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84D44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D6F68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C6CBA"/>
    <w:rsid w:val="00CD02DF"/>
    <w:rsid w:val="00CD2491"/>
    <w:rsid w:val="00CD568D"/>
    <w:rsid w:val="00CD6016"/>
    <w:rsid w:val="00CD66AB"/>
    <w:rsid w:val="00CD7B1F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2437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570E2"/>
    <w:rsid w:val="00D61B40"/>
    <w:rsid w:val="00D62E73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67A1"/>
    <w:rsid w:val="00DD6845"/>
    <w:rsid w:val="00DD6F5A"/>
    <w:rsid w:val="00DD779A"/>
    <w:rsid w:val="00DD7B7D"/>
    <w:rsid w:val="00DE01C5"/>
    <w:rsid w:val="00DE13EA"/>
    <w:rsid w:val="00DE1F2F"/>
    <w:rsid w:val="00DE5044"/>
    <w:rsid w:val="00DF1522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3A4B"/>
    <w:rsid w:val="00E447E9"/>
    <w:rsid w:val="00E45370"/>
    <w:rsid w:val="00E53680"/>
    <w:rsid w:val="00E567CA"/>
    <w:rsid w:val="00E6238B"/>
    <w:rsid w:val="00E6327B"/>
    <w:rsid w:val="00E66B27"/>
    <w:rsid w:val="00E701C6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6544"/>
    <w:rsid w:val="00EC7ED9"/>
    <w:rsid w:val="00ED05F6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3F0B"/>
    <w:rsid w:val="00F45266"/>
    <w:rsid w:val="00F45AFB"/>
    <w:rsid w:val="00F4709D"/>
    <w:rsid w:val="00F50BC9"/>
    <w:rsid w:val="00F52ACA"/>
    <w:rsid w:val="00F54183"/>
    <w:rsid w:val="00F55D5F"/>
    <w:rsid w:val="00F6067A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3907</Words>
  <Characters>23446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12</cp:revision>
  <cp:lastPrinted>2026-02-27T11:14:00Z</cp:lastPrinted>
  <dcterms:created xsi:type="dcterms:W3CDTF">2026-03-17T13:39:00Z</dcterms:created>
  <dcterms:modified xsi:type="dcterms:W3CDTF">2026-03-24T10:53:00Z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