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227B" w14:textId="32AF18FF" w:rsidR="00076BB0" w:rsidRDefault="00076BB0" w:rsidP="00076BB0">
      <w:pPr>
        <w:jc w:val="both"/>
        <w:rPr>
          <w:bCs/>
        </w:rPr>
      </w:pPr>
      <w:r w:rsidRPr="00076BB0">
        <w:rPr>
          <w:b/>
          <w:bCs/>
        </w:rPr>
        <w:t>Pytania złożone w ramach postępowania dot. j</w:t>
      </w:r>
      <w:r w:rsidRPr="00076BB0">
        <w:rPr>
          <w:b/>
          <w:bCs/>
        </w:rPr>
        <w:t>ednorazow</w:t>
      </w:r>
      <w:r w:rsidRPr="00076BB0">
        <w:rPr>
          <w:b/>
          <w:bCs/>
        </w:rPr>
        <w:t>ej</w:t>
      </w:r>
      <w:r w:rsidRPr="00076BB0">
        <w:rPr>
          <w:b/>
          <w:bCs/>
        </w:rPr>
        <w:t xml:space="preserve"> dostaw</w:t>
      </w:r>
      <w:r w:rsidRPr="00076BB0">
        <w:rPr>
          <w:b/>
          <w:bCs/>
        </w:rPr>
        <w:t>y</w:t>
      </w:r>
      <w:r w:rsidRPr="00076BB0">
        <w:rPr>
          <w:b/>
          <w:bCs/>
        </w:rPr>
        <w:t xml:space="preserve"> produktu leczniczego zawierającego substancję czynną  - </w:t>
      </w:r>
      <w:proofErr w:type="spellStart"/>
      <w:r w:rsidRPr="00076BB0">
        <w:rPr>
          <w:b/>
          <w:bCs/>
        </w:rPr>
        <w:t>Andeksanet</w:t>
      </w:r>
      <w:proofErr w:type="spellEnd"/>
      <w:r w:rsidRPr="00076BB0">
        <w:rPr>
          <w:b/>
          <w:bCs/>
        </w:rPr>
        <w:t xml:space="preserve"> alfa na potrzeby realizacji niekomercyjnego badania klinicznego</w:t>
      </w:r>
      <w:bookmarkStart w:id="0" w:name="_Hlk209512295"/>
      <w:r w:rsidRPr="00076BB0">
        <w:rPr>
          <w:b/>
          <w:bCs/>
        </w:rPr>
        <w:t xml:space="preserve">: „Wieloośrodkowe, randomizowane badanie fazy II z zastosowaniem równoległych grup badanych oraz podwójnie ślepej próby i placebo, oceniające skuteczność i bezpieczeństwo </w:t>
      </w:r>
      <w:proofErr w:type="spellStart"/>
      <w:r w:rsidRPr="00076BB0">
        <w:rPr>
          <w:b/>
          <w:bCs/>
        </w:rPr>
        <w:t>reperfuzyjnego</w:t>
      </w:r>
      <w:proofErr w:type="spellEnd"/>
      <w:r w:rsidRPr="00076BB0">
        <w:rPr>
          <w:b/>
          <w:bCs/>
        </w:rPr>
        <w:t xml:space="preserve"> leczenia </w:t>
      </w:r>
      <w:proofErr w:type="spellStart"/>
      <w:r w:rsidRPr="00076BB0">
        <w:rPr>
          <w:b/>
          <w:bCs/>
        </w:rPr>
        <w:t>trombolitycznego</w:t>
      </w:r>
      <w:proofErr w:type="spellEnd"/>
      <w:r w:rsidRPr="00076BB0">
        <w:rPr>
          <w:b/>
          <w:bCs/>
        </w:rPr>
        <w:t xml:space="preserve"> z użyciem dożylnym rekombinowanego aktywatora plazminogenu tkankowego (</w:t>
      </w:r>
      <w:proofErr w:type="spellStart"/>
      <w:r w:rsidRPr="00076BB0">
        <w:rPr>
          <w:b/>
          <w:bCs/>
        </w:rPr>
        <w:t>rtPA</w:t>
      </w:r>
      <w:proofErr w:type="spellEnd"/>
      <w:r w:rsidRPr="00076BB0">
        <w:rPr>
          <w:b/>
          <w:bCs/>
        </w:rPr>
        <w:t>) w udarze niedokrwiennym mózgu u pacjentów przyjmujących doustne leki przeciwzakrzepowe nie należące do grupy antagonistów witaminy K i po odwróceniu aktywności przeciwkrzepliwej specyficznym antidotum”</w:t>
      </w:r>
      <w:bookmarkEnd w:id="0"/>
      <w:r w:rsidRPr="00076BB0">
        <w:rPr>
          <w:b/>
          <w:bCs/>
        </w:rPr>
        <w:t xml:space="preserve"> w ramach konkursu Agencji Badań Medycznych (ABM) na działalność badawczo-rozwojową w zakresie niekomercyjnych badań klinicznych. Gdański Uniwersytet Medyczny pełni rolę Sponsora niekomercyjnego badania klinicznego</w:t>
      </w:r>
      <w:r w:rsidRPr="00076BB0">
        <w:rPr>
          <w:bCs/>
        </w:rPr>
        <w:t>.</w:t>
      </w:r>
    </w:p>
    <w:p w14:paraId="6810275A" w14:textId="77777777" w:rsidR="00076BB0" w:rsidRDefault="00076BB0" w:rsidP="00076BB0">
      <w:pPr>
        <w:jc w:val="both"/>
        <w:rPr>
          <w:bCs/>
        </w:rPr>
      </w:pPr>
    </w:p>
    <w:p w14:paraId="19461B8B" w14:textId="4469F8F6" w:rsidR="00076BB0" w:rsidRPr="00076BB0" w:rsidRDefault="00076BB0" w:rsidP="00076BB0">
      <w:pPr>
        <w:jc w:val="both"/>
        <w:rPr>
          <w:b/>
        </w:rPr>
      </w:pPr>
      <w:r w:rsidRPr="00076BB0">
        <w:rPr>
          <w:b/>
        </w:rPr>
        <w:t>Pytanie 1:</w:t>
      </w:r>
    </w:p>
    <w:p w14:paraId="56948D34" w14:textId="412DEB1F" w:rsidR="00076BB0" w:rsidRDefault="00076BB0" w:rsidP="00076BB0">
      <w:pPr>
        <w:jc w:val="both"/>
      </w:pPr>
      <w:r w:rsidRPr="00076BB0">
        <w:rPr>
          <w:u w:val="single"/>
        </w:rPr>
        <w:t>. Do §1 ust. 5, §5 ust. 1 oraz §12 ust. 1 wzoru umowy w zw. z rozdziałem IV zapytania ofertowego oraz §1 ust. 3 wzoru umowy</w:t>
      </w:r>
      <w:r w:rsidRPr="00076BB0">
        <w:t>. Prosimy o jednoznaczne wskazanie, jaki jest termin wykonywania umowy. Według §1 ust. 3 wzoru umowy oraz rozdziału IV zapytania ofertowego, przedmiotem umowy jest jednorazowa dostawa produktów leczniczych w okresie 14 dni kalendarzowych od daty zawarcia umowy. Natomiast zgodnie z postanowieniami §1 ust. 5, §5 ust. 1 oraz §12 ust. 1 wzoru umowy badanie ma trwać do 30.06.2026 r., w związku z czym umowa zawarta na czas wykonywania zobowiązań również ma trwać nie dłużej niż do dnia 30 czerwca 2026 r., co z kolei wiąże się dla wykonawcy z obowiązkiem współpracy z zamawiającym do czasu zakończenia badania, tj. do 30.06.2026 r.</w:t>
      </w:r>
    </w:p>
    <w:p w14:paraId="40D50D0A" w14:textId="2215907A" w:rsidR="00076BB0" w:rsidRPr="00076BB0" w:rsidRDefault="00076BB0" w:rsidP="00076BB0">
      <w:pPr>
        <w:jc w:val="both"/>
        <w:rPr>
          <w:u w:val="single"/>
        </w:rPr>
      </w:pPr>
      <w:r w:rsidRPr="00076BB0">
        <w:rPr>
          <w:u w:val="single"/>
        </w:rPr>
        <w:t>Odpowiedź:</w:t>
      </w:r>
    </w:p>
    <w:p w14:paraId="2CE1234D" w14:textId="061D2B90" w:rsidR="00076BB0" w:rsidRDefault="00076BB0" w:rsidP="00076BB0">
      <w:pPr>
        <w:jc w:val="both"/>
      </w:pPr>
      <w:r>
        <w:t xml:space="preserve">W ramach niniejszego postępowania termin dostawy wynosi 14 dni kalendarzowych.  Zgodnie z </w:t>
      </w:r>
      <w:r w:rsidRPr="00076BB0">
        <w:t>§ 5</w:t>
      </w:r>
      <w:r>
        <w:t xml:space="preserve"> Ust.1 : „</w:t>
      </w:r>
      <w:r w:rsidRPr="00076BB0">
        <w:t>Wykonawca do czasu zakończenia Badania, nie dłużej jednak niż do 30 czerwca 2026 roku, zobowiązany  jest do współpracy z Zamawiającym w zakresie udzielania odpowiedzi na pytania URPL i Komisji Bioetycznej dot. Badanego Produktu Leczniczego</w:t>
      </w:r>
      <w:r>
        <w:t>.”</w:t>
      </w:r>
    </w:p>
    <w:p w14:paraId="77A666DD" w14:textId="4C080738" w:rsidR="00076BB0" w:rsidRDefault="00076BB0" w:rsidP="00076BB0">
      <w:pPr>
        <w:jc w:val="both"/>
      </w:pPr>
      <w:r>
        <w:t>Pytanie 2:</w:t>
      </w:r>
    </w:p>
    <w:p w14:paraId="6FF992F2" w14:textId="2944A22F" w:rsidR="00076BB0" w:rsidRDefault="00076BB0" w:rsidP="00076BB0">
      <w:pPr>
        <w:jc w:val="both"/>
      </w:pPr>
      <w:r w:rsidRPr="00076BB0">
        <w:rPr>
          <w:u w:val="single"/>
        </w:rPr>
        <w:t>2. Do rozdziału III ust. 1 pkt 8 (opis przedmiotu zamówienia)</w:t>
      </w:r>
      <w:r w:rsidRPr="00076BB0">
        <w:t xml:space="preserve">: Czy Zamawiający wyrazi zgodę na usunięcie zapisów ust. 1 pkt 8 OPZ? Jako Wykonawca, wskazujemy, że zgodnie z założeniami tzw. Dyrektywy </w:t>
      </w:r>
      <w:proofErr w:type="spellStart"/>
      <w:r w:rsidRPr="00076BB0">
        <w:t>fałszywkowej</w:t>
      </w:r>
      <w:proofErr w:type="spellEnd"/>
      <w:r w:rsidRPr="00076BB0">
        <w:t xml:space="preserve">, weryfikacja autentyczności, a następnie wycofanie niepowtarzalnego identyfikatora produktów leczniczych w łańcuchu dystrybucji powinna się odbywać w systemie end to end, tj. ostatecznej weryfikacji tych leków powinien dokonywać tzw. użytkownik końcowy (w przypadku niniejszym Apteka Szpitalna, do której realizowane będą dostawy i która posiada możliwości techniczne przeprowadzenia ww. opisanej procedury). Ponadto wskazać należy, że nawet w przypadku dokonania weryfikacji produktu leczniczego i dostarczenia dowodu weryfikacji leku do Zamawiającego, w żaden sposób nie zwalnia go od dokonania jego weryfikacji we własnym zakresie. Tak więc, pozostawienie postanowienia w obecnym brzmieniu doprowadziłoby do konieczności przeprowadzania weryfikacji danego produktu leczniczego dwukrotnie. Pierwsza z czynności byłaby więc wykonywana bezcelowo i nadaremnie. Ponadto, podkreślenia wymaga okoliczność, że na podstawie zawartej umowy (w ramach swobody zawierania umów) Zamawiający nie może zwolnić się z tego obowiązku poprzez scedowanie go na inny podmiot, w tym na inny podmiot w danym łańcuchu dystrybucji. Wprowadzenie takiego rozwiązania byłoby całkowicie niezgodne z założeniami Dyrektywy </w:t>
      </w:r>
      <w:proofErr w:type="spellStart"/>
      <w:r w:rsidRPr="00076BB0">
        <w:t>fałszywkowej</w:t>
      </w:r>
      <w:proofErr w:type="spellEnd"/>
      <w:r w:rsidRPr="00076BB0">
        <w:t xml:space="preserve"> i mogłoby zostać uznane za próbę obejścia prawa. W szczególności wskazać należy, że celem ustawodawcy europejskiego </w:t>
      </w:r>
      <w:r w:rsidRPr="00076BB0">
        <w:lastRenderedPageBreak/>
        <w:t>było zobowiązanie właśnie podmiotów uprawionych do wydawania leków pacjentowi do ich weryfikacji.</w:t>
      </w:r>
    </w:p>
    <w:p w14:paraId="126CF2C9" w14:textId="3CBAA041" w:rsidR="00076BB0" w:rsidRDefault="00076BB0" w:rsidP="00076BB0">
      <w:pPr>
        <w:jc w:val="both"/>
      </w:pPr>
      <w:r>
        <w:t>Odpowiedź:</w:t>
      </w:r>
    </w:p>
    <w:p w14:paraId="23BDCACE" w14:textId="7F85B48F" w:rsidR="00EE5E7A" w:rsidRDefault="00EE5E7A" w:rsidP="00076BB0">
      <w:pPr>
        <w:jc w:val="both"/>
      </w:pPr>
      <w:r>
        <w:t>Zamawiający wyraża zgodę.</w:t>
      </w:r>
    </w:p>
    <w:p w14:paraId="7A798DFF" w14:textId="476CC2DE" w:rsidR="00076BB0" w:rsidRPr="00076BB0" w:rsidRDefault="00076BB0" w:rsidP="00076BB0">
      <w:pPr>
        <w:jc w:val="both"/>
        <w:rPr>
          <w:b/>
          <w:bCs/>
        </w:rPr>
      </w:pPr>
      <w:r w:rsidRPr="00076BB0">
        <w:rPr>
          <w:b/>
          <w:bCs/>
        </w:rPr>
        <w:t>Pytanie 3</w:t>
      </w:r>
      <w:r w:rsidR="00EE5E7A">
        <w:rPr>
          <w:b/>
          <w:bCs/>
        </w:rPr>
        <w:t>:</w:t>
      </w:r>
    </w:p>
    <w:p w14:paraId="77034119" w14:textId="244961C1" w:rsidR="00076BB0" w:rsidRDefault="00076BB0" w:rsidP="00076BB0">
      <w:pPr>
        <w:jc w:val="both"/>
      </w:pPr>
      <w:r w:rsidRPr="00076BB0">
        <w:rPr>
          <w:u w:val="single"/>
        </w:rPr>
        <w:t xml:space="preserve"> Do §1 ust. 4 lit. b) wzoru umowy oraz rozdziału III ust. 1 pkt 9 (opis przedmiotu zamówienia)</w:t>
      </w:r>
      <w:r w:rsidRPr="00076BB0">
        <w:t>: Prosimy o potwierdzenie, że w przypadku realizacji zamówienia przez hurtownię farmaceutyczną, Zamawiający nie będzie oczekiwał dokumentacji określonej w lit. i) oraz ii w §1 ust. 4 lit. b) wzoru umowy oraz w ust. 1 pkt 9 OPZ?</w:t>
      </w:r>
    </w:p>
    <w:p w14:paraId="33C5341C" w14:textId="5B85E237" w:rsidR="00076BB0" w:rsidRPr="00076BB0" w:rsidRDefault="00076BB0" w:rsidP="00076BB0">
      <w:pPr>
        <w:jc w:val="both"/>
        <w:rPr>
          <w:u w:val="single"/>
        </w:rPr>
      </w:pPr>
      <w:r w:rsidRPr="00076BB0">
        <w:rPr>
          <w:u w:val="single"/>
        </w:rPr>
        <w:t>Odpowiedź:</w:t>
      </w:r>
    </w:p>
    <w:p w14:paraId="69BBA2F8" w14:textId="2FAB911F" w:rsidR="00076BB0" w:rsidRDefault="00076BB0" w:rsidP="00076BB0">
      <w:pPr>
        <w:jc w:val="both"/>
      </w:pPr>
      <w:r>
        <w:t xml:space="preserve">Zmawiający potwierdza, że jeśli do postępowania przystąpi hurtownia farmaceutyczna </w:t>
      </w:r>
      <w:r w:rsidRPr="00076BB0">
        <w:t>nie będzie oczekiwał dokumentacji określonej w lit. i) oraz ii w §1 ust. 4 lit. b) wzoru umowy oraz w ust. 1 pkt 9 OPZ</w:t>
      </w:r>
      <w:r>
        <w:t>.</w:t>
      </w:r>
    </w:p>
    <w:p w14:paraId="4DB78DC2" w14:textId="414094D0" w:rsidR="00076BB0" w:rsidRPr="00EE5E7A" w:rsidRDefault="00076BB0" w:rsidP="00076BB0">
      <w:pPr>
        <w:jc w:val="both"/>
        <w:rPr>
          <w:b/>
          <w:bCs/>
        </w:rPr>
      </w:pPr>
      <w:r w:rsidRPr="00EE5E7A">
        <w:rPr>
          <w:b/>
          <w:bCs/>
        </w:rPr>
        <w:t>Pytanie 4:</w:t>
      </w:r>
    </w:p>
    <w:p w14:paraId="573ACCD0" w14:textId="33D84F01" w:rsidR="00076BB0" w:rsidRDefault="00076BB0" w:rsidP="00076BB0">
      <w:pPr>
        <w:jc w:val="both"/>
      </w:pPr>
      <w:r w:rsidRPr="00076BB0">
        <w:rPr>
          <w:u w:val="single"/>
        </w:rPr>
        <w:t>4. Do §3 ust. 1 wzoru umowy</w:t>
      </w:r>
      <w:r w:rsidRPr="00076BB0">
        <w:t>: Prosimy o potwierdzenie, że w razie zawarcia umowy z hurtownią farmaceutyczną, Zamawiający usunie z umowy postanowienia §3 ust. 1, pozostawiając zobowiązanie Wykonawcy określone w §3 ust. 2? Wykonawca występujący w tym stosunku zobowiązaniowym wyłącznie jako hurtownia farmaceutyczna, dokonuje jedynie dostawy tzw. gotowego produktu leczniczego, którego wytwórcą jest odrębny podmiot. Odpowiedzialność hurtowni farmaceutycznej ogranicza się zatem za działania związane z tym etapem łańcucha dystrybucji leku. Zasady i zakres tej odpowiedzialności są określone w Rozporządzeniu Ministra Zdrowia z dnia 13 marca 2015 r. w sprawie wymagań dobrej praktyki dystrybucyjnej. W konsekwencji, hurtownia farmaceutyczna nie powinna i nie może zaświadczać za produkt leczniczy na etapie jego wytwarzania. Odpowiedzialność ta jest przypisana wytwórcy leku i wynika z Rozporządzenia Ministra Zdrowia z dnia 9 listopada 2015 r. w sprawie wymagań dobrej praktyki wytwarzania. </w:t>
      </w:r>
    </w:p>
    <w:p w14:paraId="6854419F" w14:textId="7EC30797" w:rsidR="00076BB0" w:rsidRPr="00076BB0" w:rsidRDefault="00076BB0" w:rsidP="00076BB0">
      <w:pPr>
        <w:jc w:val="both"/>
        <w:rPr>
          <w:u w:val="single"/>
        </w:rPr>
      </w:pPr>
      <w:r w:rsidRPr="00076BB0">
        <w:rPr>
          <w:u w:val="single"/>
        </w:rPr>
        <w:t>Odpowiedź:</w:t>
      </w:r>
    </w:p>
    <w:p w14:paraId="4429ADAB" w14:textId="7F3FB326" w:rsidR="00076BB0" w:rsidRDefault="00EE5E7A" w:rsidP="00076BB0">
      <w:pPr>
        <w:jc w:val="both"/>
      </w:pPr>
      <w:r>
        <w:t xml:space="preserve">Zamawiający nie wyraża zgody. </w:t>
      </w:r>
    </w:p>
    <w:p w14:paraId="2EDB23F1" w14:textId="77777777" w:rsidR="00076BB0" w:rsidRPr="00076BB0" w:rsidRDefault="00076BB0" w:rsidP="00076BB0">
      <w:pPr>
        <w:jc w:val="both"/>
        <w:rPr>
          <w:b/>
          <w:bCs/>
          <w:u w:val="single"/>
        </w:rPr>
      </w:pPr>
      <w:r w:rsidRPr="00076BB0">
        <w:rPr>
          <w:b/>
          <w:bCs/>
        </w:rPr>
        <w:t xml:space="preserve">Pytanie 5: </w:t>
      </w:r>
    </w:p>
    <w:p w14:paraId="7E1802D9" w14:textId="2FD8E522" w:rsidR="00076BB0" w:rsidRDefault="00076BB0" w:rsidP="00076BB0">
      <w:pPr>
        <w:jc w:val="both"/>
      </w:pPr>
      <w:r w:rsidRPr="00076BB0">
        <w:rPr>
          <w:u w:val="single"/>
        </w:rPr>
        <w:t>Do §11 ust. 2 lit. b) wzoru umowy:</w:t>
      </w:r>
      <w:r w:rsidRPr="00076BB0">
        <w:t> Prosimy o dodanie zastrzeżenia, że ewentualne przedłużenie terminu obowiązywania umowy, każdorazowo wymagało będzie zgody udzielonej przez wykonawcę w formie pisemnej, pod rygorem nieważności (aneks).</w:t>
      </w:r>
    </w:p>
    <w:p w14:paraId="0060A61E" w14:textId="77777777" w:rsidR="00E34CD9" w:rsidRDefault="00076BB0" w:rsidP="00E34CD9">
      <w:pPr>
        <w:jc w:val="both"/>
        <w:rPr>
          <w:u w:val="single"/>
        </w:rPr>
      </w:pPr>
      <w:r w:rsidRPr="00076BB0">
        <w:rPr>
          <w:u w:val="single"/>
        </w:rPr>
        <w:t>Odpowiedź:</w:t>
      </w:r>
    </w:p>
    <w:p w14:paraId="2E958F6B" w14:textId="21EDB12B" w:rsidR="00E34CD9" w:rsidRPr="00E34CD9" w:rsidRDefault="00E34CD9" w:rsidP="00E34CD9">
      <w:pPr>
        <w:pStyle w:val="Akapitzlist"/>
        <w:spacing w:line="288" w:lineRule="auto"/>
        <w:ind w:left="0"/>
        <w:rPr>
          <w:rFonts w:cstheme="minorHAnsi"/>
          <w:sz w:val="20"/>
          <w:szCs w:val="20"/>
        </w:rPr>
      </w:pPr>
      <w:r>
        <w:t xml:space="preserve">Zgodnie z </w:t>
      </w:r>
      <w:r w:rsidRPr="00911B43">
        <w:rPr>
          <w:rFonts w:cstheme="minorHAnsi"/>
          <w:sz w:val="20"/>
          <w:szCs w:val="20"/>
        </w:rPr>
        <w:t>§ 1</w:t>
      </w:r>
      <w:r>
        <w:rPr>
          <w:rFonts w:cstheme="minorHAnsi"/>
          <w:sz w:val="20"/>
          <w:szCs w:val="20"/>
        </w:rPr>
        <w:t>1 ust. 5 : „</w:t>
      </w:r>
      <w:r w:rsidRPr="00E34CD9">
        <w:rPr>
          <w:rFonts w:cstheme="minorHAnsi"/>
          <w:kern w:val="1"/>
          <w:sz w:val="20"/>
          <w:szCs w:val="20"/>
          <w:lang w:eastAsia="ar-SA"/>
        </w:rPr>
        <w:t>Wszelkie zmiany umowy wymagają formy pisemnego aneksu pod rygorem nieważności, chyba że z pozostałych postanowień umowy wynika co inneg</w:t>
      </w:r>
      <w:r>
        <w:rPr>
          <w:rFonts w:cstheme="minorHAnsi"/>
          <w:kern w:val="1"/>
          <w:sz w:val="20"/>
          <w:szCs w:val="20"/>
          <w:lang w:eastAsia="ar-SA"/>
        </w:rPr>
        <w:t>o”</w:t>
      </w:r>
    </w:p>
    <w:p w14:paraId="4133F1E9" w14:textId="3AABC8AC" w:rsidR="00076BB0" w:rsidRPr="00EE5E7A" w:rsidRDefault="00076BB0" w:rsidP="00076BB0">
      <w:pPr>
        <w:jc w:val="both"/>
      </w:pPr>
    </w:p>
    <w:p w14:paraId="17B2587F" w14:textId="012F3775" w:rsidR="002D0D2B" w:rsidRPr="00076BB0" w:rsidRDefault="00076BB0">
      <w:pPr>
        <w:rPr>
          <w:b/>
          <w:bCs/>
        </w:rPr>
      </w:pPr>
      <w:r w:rsidRPr="00076BB0">
        <w:rPr>
          <w:b/>
          <w:bCs/>
        </w:rPr>
        <w:t>Pytanie 6:</w:t>
      </w:r>
    </w:p>
    <w:p w14:paraId="467477A6" w14:textId="19B8E7C1" w:rsidR="00076BB0" w:rsidRDefault="00076BB0">
      <w:r w:rsidRPr="00076BB0">
        <w:rPr>
          <w:u w:val="single"/>
        </w:rPr>
        <w:t>. §11 ust. 2 lit. e) wzoru umowy</w:t>
      </w:r>
      <w:r w:rsidRPr="00076BB0">
        <w:t xml:space="preserve">: Prosimy o modyfikację w zakresie możliwości zmiany podmiotu lub adresu podmiotu, do którego będą dostarczane badane produkty lecznicze w taki sposób, aby </w:t>
      </w:r>
      <w:r w:rsidRPr="00076BB0">
        <w:lastRenderedPageBreak/>
        <w:t>ewentualna zmiana miejsca dostawy odbywała się w uzgodnieniu z wykonawcą i za obopólną zgodą stron (aneks).</w:t>
      </w:r>
    </w:p>
    <w:p w14:paraId="7F23B1D7" w14:textId="5D807F6F" w:rsidR="00EE5E7A" w:rsidRPr="00EE5E7A" w:rsidRDefault="00EE5E7A">
      <w:pPr>
        <w:rPr>
          <w:u w:val="single"/>
        </w:rPr>
      </w:pPr>
      <w:r w:rsidRPr="00EE5E7A">
        <w:rPr>
          <w:u w:val="single"/>
        </w:rPr>
        <w:t>Odpowiedź:</w:t>
      </w:r>
    </w:p>
    <w:p w14:paraId="17EDCAB2" w14:textId="77777777" w:rsidR="00E34CD9" w:rsidRPr="00E34CD9" w:rsidRDefault="00E34CD9" w:rsidP="00E34CD9">
      <w:pPr>
        <w:pStyle w:val="Akapitzlist"/>
        <w:spacing w:line="288" w:lineRule="auto"/>
        <w:ind w:left="0"/>
        <w:rPr>
          <w:rFonts w:cstheme="minorHAnsi"/>
          <w:sz w:val="20"/>
          <w:szCs w:val="20"/>
        </w:rPr>
      </w:pPr>
      <w:r>
        <w:t xml:space="preserve">Zgodnie z </w:t>
      </w:r>
      <w:r w:rsidRPr="00911B43">
        <w:rPr>
          <w:rFonts w:cstheme="minorHAnsi"/>
          <w:sz w:val="20"/>
          <w:szCs w:val="20"/>
        </w:rPr>
        <w:t>§ 1</w:t>
      </w:r>
      <w:r>
        <w:rPr>
          <w:rFonts w:cstheme="minorHAnsi"/>
          <w:sz w:val="20"/>
          <w:szCs w:val="20"/>
        </w:rPr>
        <w:t>1 ust. 5 : „</w:t>
      </w:r>
      <w:r w:rsidRPr="00E34CD9">
        <w:rPr>
          <w:rFonts w:cstheme="minorHAnsi"/>
          <w:kern w:val="1"/>
          <w:sz w:val="20"/>
          <w:szCs w:val="20"/>
          <w:lang w:eastAsia="ar-SA"/>
        </w:rPr>
        <w:t>Wszelkie zmiany umowy wymagają formy pisemnego aneksu pod rygorem nieważności, chyba że z pozostałych postanowień umowy wynika co inneg</w:t>
      </w:r>
      <w:r>
        <w:rPr>
          <w:rFonts w:cstheme="minorHAnsi"/>
          <w:kern w:val="1"/>
          <w:sz w:val="20"/>
          <w:szCs w:val="20"/>
          <w:lang w:eastAsia="ar-SA"/>
        </w:rPr>
        <w:t>o”</w:t>
      </w:r>
    </w:p>
    <w:p w14:paraId="5D2E478F" w14:textId="774E750F" w:rsidR="00EE5E7A" w:rsidRDefault="00EE5E7A" w:rsidP="00E34CD9"/>
    <w:sectPr w:rsidR="00EE5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A6A0C" w14:textId="77777777" w:rsidR="006E47E9" w:rsidRDefault="006E47E9" w:rsidP="00EE5E7A">
      <w:pPr>
        <w:spacing w:after="0" w:line="240" w:lineRule="auto"/>
      </w:pPr>
      <w:r>
        <w:separator/>
      </w:r>
    </w:p>
  </w:endnote>
  <w:endnote w:type="continuationSeparator" w:id="0">
    <w:p w14:paraId="24D4EAC0" w14:textId="77777777" w:rsidR="006E47E9" w:rsidRDefault="006E47E9" w:rsidP="00EE5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50A01" w14:textId="77777777" w:rsidR="006E47E9" w:rsidRDefault="006E47E9" w:rsidP="00EE5E7A">
      <w:pPr>
        <w:spacing w:after="0" w:line="240" w:lineRule="auto"/>
      </w:pPr>
      <w:r>
        <w:separator/>
      </w:r>
    </w:p>
  </w:footnote>
  <w:footnote w:type="continuationSeparator" w:id="0">
    <w:p w14:paraId="76CE59CC" w14:textId="77777777" w:rsidR="006E47E9" w:rsidRDefault="006E47E9" w:rsidP="00EE5E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7B600F"/>
    <w:multiLevelType w:val="hybridMultilevel"/>
    <w:tmpl w:val="BD24B6D6"/>
    <w:lvl w:ilvl="0" w:tplc="41805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36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B0"/>
    <w:rsid w:val="0003372C"/>
    <w:rsid w:val="00076BB0"/>
    <w:rsid w:val="002D0D2B"/>
    <w:rsid w:val="00362C23"/>
    <w:rsid w:val="00394EEF"/>
    <w:rsid w:val="006E47E9"/>
    <w:rsid w:val="00E34CD9"/>
    <w:rsid w:val="00E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1916E"/>
  <w15:chartTrackingRefBased/>
  <w15:docId w15:val="{E0289F91-91B9-4B5F-A99E-B6DB917F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6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6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6B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6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6B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6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6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6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6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6B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6B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6B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6B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6B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6B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6B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6B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6B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6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6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6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6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6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6BB0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Normalny"/>
    <w:uiPriority w:val="34"/>
    <w:qFormat/>
    <w:rsid w:val="00076B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6B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6B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6B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6BB0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5E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5E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5E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Zawroska</dc:creator>
  <cp:keywords/>
  <dc:description/>
  <cp:lastModifiedBy>Ewelina Zawroska</cp:lastModifiedBy>
  <cp:revision>1</cp:revision>
  <dcterms:created xsi:type="dcterms:W3CDTF">2025-10-01T05:58:00Z</dcterms:created>
  <dcterms:modified xsi:type="dcterms:W3CDTF">2025-10-01T06:26:00Z</dcterms:modified>
</cp:coreProperties>
</file>