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DD9" w:rsidRDefault="00D22DD9"/>
    <w:p w:rsidR="00845EE8" w:rsidRDefault="00845EE8"/>
    <w:p w:rsidR="00845EE8" w:rsidRPr="00435685" w:rsidRDefault="00845EE8" w:rsidP="00845EE8">
      <w:pPr>
        <w:ind w:right="-285"/>
        <w:rPr>
          <w:rFonts w:ascii="Century Gothic" w:hAnsi="Century Gothic" w:cs="Calibri"/>
          <w:sz w:val="20"/>
          <w:szCs w:val="20"/>
        </w:rPr>
      </w:pPr>
      <w:bookmarkStart w:id="0" w:name="_Hlk74313388"/>
      <w:r w:rsidRPr="00435685">
        <w:rPr>
          <w:rFonts w:ascii="Century Gothic" w:hAnsi="Century Gothic" w:cs="Arial"/>
          <w:b/>
          <w:color w:val="000000"/>
          <w:sz w:val="20"/>
          <w:szCs w:val="20"/>
        </w:rPr>
        <w:t xml:space="preserve">Znak sprawy </w:t>
      </w:r>
      <w:r>
        <w:rPr>
          <w:rFonts w:ascii="Century Gothic" w:hAnsi="Century Gothic" w:cs="Arial"/>
          <w:b/>
          <w:color w:val="000000"/>
          <w:sz w:val="20"/>
          <w:szCs w:val="20"/>
        </w:rPr>
        <w:t>5</w:t>
      </w:r>
      <w:r w:rsidRPr="00435685">
        <w:rPr>
          <w:rFonts w:ascii="Century Gothic" w:hAnsi="Century Gothic" w:cs="Arial"/>
          <w:b/>
          <w:color w:val="000000"/>
          <w:sz w:val="20"/>
          <w:szCs w:val="20"/>
        </w:rPr>
        <w:t>/</w:t>
      </w:r>
      <w:proofErr w:type="spellStart"/>
      <w:r w:rsidRPr="00435685">
        <w:rPr>
          <w:rFonts w:ascii="Century Gothic" w:hAnsi="Century Gothic" w:cs="Arial"/>
          <w:b/>
          <w:color w:val="000000"/>
          <w:sz w:val="20"/>
          <w:szCs w:val="20"/>
        </w:rPr>
        <w:t>ABM</w:t>
      </w:r>
      <w:proofErr w:type="spellEnd"/>
      <w:r w:rsidRPr="00435685">
        <w:rPr>
          <w:rFonts w:ascii="Century Gothic" w:hAnsi="Century Gothic" w:cs="Arial"/>
          <w:b/>
          <w:color w:val="000000"/>
          <w:sz w:val="20"/>
          <w:szCs w:val="20"/>
        </w:rPr>
        <w:t>/20</w:t>
      </w:r>
      <w:bookmarkEnd w:id="0"/>
      <w:r>
        <w:rPr>
          <w:rFonts w:ascii="Century Gothic" w:hAnsi="Century Gothic" w:cs="Arial"/>
          <w:b/>
          <w:color w:val="000000"/>
          <w:sz w:val="20"/>
          <w:szCs w:val="20"/>
        </w:rPr>
        <w:t>22</w:t>
      </w:r>
      <w:r w:rsidRPr="00435685">
        <w:rPr>
          <w:rFonts w:ascii="Century Gothic" w:hAnsi="Century Gothic" w:cs="Calibri"/>
          <w:sz w:val="20"/>
          <w:szCs w:val="20"/>
        </w:rPr>
        <w:tab/>
      </w:r>
      <w:r w:rsidRPr="00435685">
        <w:rPr>
          <w:rFonts w:ascii="Century Gothic" w:hAnsi="Century Gothic" w:cs="Calibri"/>
          <w:sz w:val="20"/>
          <w:szCs w:val="20"/>
        </w:rPr>
        <w:tab/>
      </w:r>
      <w:r w:rsidRPr="00435685">
        <w:rPr>
          <w:rFonts w:ascii="Century Gothic" w:hAnsi="Century Gothic" w:cs="Calibri"/>
          <w:sz w:val="20"/>
          <w:szCs w:val="20"/>
        </w:rPr>
        <w:tab/>
      </w:r>
      <w:r w:rsidRPr="00435685">
        <w:rPr>
          <w:rFonts w:ascii="Century Gothic" w:hAnsi="Century Gothic" w:cs="Calibri"/>
          <w:sz w:val="20"/>
          <w:szCs w:val="20"/>
        </w:rPr>
        <w:tab/>
      </w:r>
      <w:r w:rsidRPr="00435685">
        <w:rPr>
          <w:rFonts w:ascii="Century Gothic" w:hAnsi="Century Gothic" w:cs="Calibri"/>
          <w:sz w:val="20"/>
          <w:szCs w:val="20"/>
        </w:rPr>
        <w:tab/>
      </w:r>
      <w:r w:rsidRPr="00435685">
        <w:rPr>
          <w:rFonts w:ascii="Century Gothic" w:hAnsi="Century Gothic" w:cs="Calibri"/>
          <w:sz w:val="20"/>
          <w:szCs w:val="20"/>
        </w:rPr>
        <w:tab/>
        <w:t xml:space="preserve">        Gdańsk, dnia </w:t>
      </w:r>
      <w:r>
        <w:rPr>
          <w:rFonts w:ascii="Century Gothic" w:hAnsi="Century Gothic" w:cs="Calibri"/>
          <w:sz w:val="20"/>
          <w:szCs w:val="20"/>
        </w:rPr>
        <w:t>21</w:t>
      </w:r>
      <w:r w:rsidRPr="00435685">
        <w:rPr>
          <w:rFonts w:ascii="Century Gothic" w:hAnsi="Century Gothic" w:cs="Calibri"/>
          <w:sz w:val="20"/>
          <w:szCs w:val="20"/>
        </w:rPr>
        <w:t>.0</w:t>
      </w:r>
      <w:r>
        <w:rPr>
          <w:rFonts w:ascii="Century Gothic" w:hAnsi="Century Gothic" w:cs="Calibri"/>
          <w:sz w:val="20"/>
          <w:szCs w:val="20"/>
        </w:rPr>
        <w:t>3</w:t>
      </w:r>
      <w:r w:rsidRPr="00435685">
        <w:rPr>
          <w:rFonts w:ascii="Century Gothic" w:hAnsi="Century Gothic" w:cs="Calibri"/>
          <w:sz w:val="20"/>
          <w:szCs w:val="20"/>
        </w:rPr>
        <w:t>.202</w:t>
      </w:r>
      <w:r>
        <w:rPr>
          <w:rFonts w:ascii="Century Gothic" w:hAnsi="Century Gothic" w:cs="Calibri"/>
          <w:sz w:val="20"/>
          <w:szCs w:val="20"/>
        </w:rPr>
        <w:t>2</w:t>
      </w:r>
      <w:r>
        <w:rPr>
          <w:rFonts w:ascii="Century Gothic" w:hAnsi="Century Gothic" w:cs="Calibri"/>
          <w:sz w:val="20"/>
          <w:szCs w:val="20"/>
        </w:rPr>
        <w:t xml:space="preserve"> </w:t>
      </w:r>
      <w:r w:rsidRPr="00435685">
        <w:rPr>
          <w:rFonts w:ascii="Century Gothic" w:hAnsi="Century Gothic" w:cs="Calibri"/>
          <w:sz w:val="20"/>
          <w:szCs w:val="20"/>
        </w:rPr>
        <w:t>r.</w:t>
      </w:r>
    </w:p>
    <w:p w:rsidR="00845EE8" w:rsidRDefault="00845EE8"/>
    <w:p w:rsidR="00845EE8" w:rsidRDefault="00845EE8"/>
    <w:p w:rsidR="00845EE8" w:rsidRDefault="00845EE8">
      <w:r>
        <w:t xml:space="preserve"> </w:t>
      </w:r>
    </w:p>
    <w:p w:rsidR="00845EE8" w:rsidRPr="00435685" w:rsidRDefault="00845EE8" w:rsidP="00845EE8">
      <w:pPr>
        <w:ind w:right="543"/>
        <w:jc w:val="both"/>
        <w:rPr>
          <w:rFonts w:ascii="Century Gothic" w:hAnsi="Century Gothic" w:cs="Calibri"/>
          <w:b/>
          <w:sz w:val="20"/>
          <w:szCs w:val="20"/>
        </w:rPr>
      </w:pPr>
    </w:p>
    <w:p w:rsidR="00845EE8" w:rsidRPr="00435685" w:rsidRDefault="00845EE8" w:rsidP="00845EE8">
      <w:pPr>
        <w:ind w:right="543"/>
        <w:jc w:val="both"/>
        <w:rPr>
          <w:rFonts w:ascii="Century Gothic" w:hAnsi="Century Gothic" w:cs="Calibri"/>
          <w:b/>
          <w:sz w:val="20"/>
          <w:szCs w:val="20"/>
        </w:rPr>
      </w:pPr>
    </w:p>
    <w:p w:rsidR="00845EE8" w:rsidRPr="00845EE8" w:rsidRDefault="00845EE8" w:rsidP="00845EE8">
      <w:pPr>
        <w:ind w:right="-285"/>
        <w:jc w:val="center"/>
        <w:rPr>
          <w:rFonts w:ascii="Century Gothic" w:hAnsi="Century Gothic" w:cs="Arial"/>
          <w:b/>
          <w:sz w:val="20"/>
          <w:szCs w:val="20"/>
        </w:rPr>
      </w:pPr>
      <w:r w:rsidRPr="00845EE8">
        <w:rPr>
          <w:rFonts w:ascii="Century Gothic" w:hAnsi="Century Gothic" w:cs="Arial"/>
          <w:b/>
          <w:sz w:val="20"/>
          <w:szCs w:val="20"/>
        </w:rPr>
        <w:t xml:space="preserve">Zawiadomienie o unieważnieniu postępowania </w:t>
      </w:r>
    </w:p>
    <w:p w:rsidR="00845EE8" w:rsidRPr="00845EE8" w:rsidRDefault="00845EE8">
      <w:pPr>
        <w:rPr>
          <w:rFonts w:ascii="Century Gothic" w:hAnsi="Century Gothic"/>
          <w:sz w:val="20"/>
          <w:szCs w:val="20"/>
        </w:rPr>
      </w:pPr>
      <w:bookmarkStart w:id="1" w:name="_GoBack"/>
      <w:bookmarkEnd w:id="1"/>
    </w:p>
    <w:p w:rsidR="00845EE8" w:rsidRPr="00845EE8" w:rsidRDefault="00845EE8" w:rsidP="00845EE8">
      <w:pPr>
        <w:jc w:val="both"/>
        <w:rPr>
          <w:rFonts w:ascii="Century Gothic" w:hAnsi="Century Gothic"/>
          <w:sz w:val="20"/>
          <w:szCs w:val="20"/>
        </w:rPr>
      </w:pPr>
      <w:r w:rsidRPr="00845EE8">
        <w:rPr>
          <w:rFonts w:ascii="Century Gothic" w:hAnsi="Century Gothic"/>
          <w:sz w:val="20"/>
          <w:szCs w:val="20"/>
        </w:rPr>
        <w:t>Gdański Uniwersytet Medyczny, jako Zamawiający zawiadamia o unieważnieniu postępowania o udzielenie zapytania ofertowego nr 5/</w:t>
      </w:r>
      <w:proofErr w:type="spellStart"/>
      <w:r w:rsidRPr="00845EE8">
        <w:rPr>
          <w:rFonts w:ascii="Century Gothic" w:hAnsi="Century Gothic"/>
          <w:sz w:val="20"/>
          <w:szCs w:val="20"/>
        </w:rPr>
        <w:t>ABM</w:t>
      </w:r>
      <w:proofErr w:type="spellEnd"/>
      <w:r w:rsidRPr="00845EE8">
        <w:rPr>
          <w:rFonts w:ascii="Century Gothic" w:hAnsi="Century Gothic"/>
          <w:sz w:val="20"/>
          <w:szCs w:val="20"/>
        </w:rPr>
        <w:t xml:space="preserve">/2022 w ramach, którego poszukiwany był wykonawca na stanowisko Koordynatora Badania Klinicznego, w ramach realizowanego projektu pt.: „Podwójna terapia przeciwzakrzepowa </w:t>
      </w:r>
      <w:proofErr w:type="spellStart"/>
      <w:r w:rsidRPr="00845EE8">
        <w:rPr>
          <w:rFonts w:ascii="Century Gothic" w:hAnsi="Century Gothic"/>
          <w:sz w:val="20"/>
          <w:szCs w:val="20"/>
        </w:rPr>
        <w:t>dabigatranem</w:t>
      </w:r>
      <w:proofErr w:type="spellEnd"/>
      <w:r w:rsidRPr="00845EE8">
        <w:rPr>
          <w:rFonts w:ascii="Century Gothic" w:hAnsi="Century Gothic"/>
          <w:sz w:val="20"/>
          <w:szCs w:val="20"/>
        </w:rPr>
        <w:t xml:space="preserve"> i </w:t>
      </w:r>
      <w:proofErr w:type="spellStart"/>
      <w:r w:rsidRPr="00845EE8">
        <w:rPr>
          <w:rFonts w:ascii="Century Gothic" w:hAnsi="Century Gothic"/>
          <w:sz w:val="20"/>
          <w:szCs w:val="20"/>
        </w:rPr>
        <w:t>tikagrelorem</w:t>
      </w:r>
      <w:proofErr w:type="spellEnd"/>
      <w:r w:rsidRPr="00845EE8">
        <w:rPr>
          <w:rFonts w:ascii="Century Gothic" w:hAnsi="Century Gothic"/>
          <w:sz w:val="20"/>
          <w:szCs w:val="20"/>
        </w:rPr>
        <w:t xml:space="preserve"> u pacjentów z ostrym zespołem wieńcowym i niezastawkowym migotaniem przedsionków poddawanych przezskórnej interwencji wieńcowej (ADONIS-PCI).</w:t>
      </w:r>
    </w:p>
    <w:p w:rsidR="00845EE8" w:rsidRDefault="00845EE8"/>
    <w:p w:rsidR="00845EE8" w:rsidRPr="00435685" w:rsidRDefault="00845EE8" w:rsidP="00845EE8">
      <w:pPr>
        <w:tabs>
          <w:tab w:val="left" w:pos="284"/>
        </w:tabs>
        <w:spacing w:line="288" w:lineRule="auto"/>
        <w:rPr>
          <w:rFonts w:ascii="Century Gothic" w:hAnsi="Century Gothic" w:cs="Calibri"/>
          <w:b/>
          <w:bCs/>
          <w:sz w:val="20"/>
          <w:szCs w:val="20"/>
          <w:u w:val="single"/>
        </w:rPr>
      </w:pPr>
      <w:r w:rsidRPr="00435685">
        <w:rPr>
          <w:rFonts w:ascii="Century Gothic" w:hAnsi="Century Gothic" w:cs="Calibri"/>
          <w:b/>
          <w:bCs/>
          <w:sz w:val="20"/>
          <w:szCs w:val="20"/>
          <w:u w:val="single"/>
        </w:rPr>
        <w:t>Uzasadnienie:</w:t>
      </w:r>
    </w:p>
    <w:p w:rsidR="00845EE8" w:rsidRDefault="00845EE8"/>
    <w:p w:rsidR="00845EE8" w:rsidRDefault="00845EE8">
      <w:pPr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W odpowiedzi na ogłoszenie o numerze 5/</w:t>
      </w:r>
      <w:proofErr w:type="spellStart"/>
      <w:r>
        <w:rPr>
          <w:rFonts w:ascii="Century Gothic" w:hAnsi="Century Gothic" w:cs="Calibri"/>
          <w:sz w:val="20"/>
          <w:szCs w:val="20"/>
        </w:rPr>
        <w:t>ABM</w:t>
      </w:r>
      <w:proofErr w:type="spellEnd"/>
      <w:r>
        <w:rPr>
          <w:rFonts w:ascii="Century Gothic" w:hAnsi="Century Gothic" w:cs="Calibri"/>
          <w:sz w:val="20"/>
          <w:szCs w:val="20"/>
        </w:rPr>
        <w:t>/2022 wpłynęła 1 oferta, która nie spełnia wymogów formalnych.</w:t>
      </w:r>
    </w:p>
    <w:p w:rsidR="00845EE8" w:rsidRDefault="00845EE8"/>
    <w:p w:rsidR="00845EE8" w:rsidRDefault="00845EE8"/>
    <w:p w:rsidR="00845EE8" w:rsidRPr="00435685" w:rsidRDefault="00845EE8" w:rsidP="00845EE8">
      <w:pPr>
        <w:ind w:left="5664" w:firstLine="708"/>
        <w:rPr>
          <w:rFonts w:ascii="Century Gothic" w:hAnsi="Century Gothic" w:cs="Calibri"/>
          <w:iCs/>
          <w:sz w:val="20"/>
          <w:szCs w:val="20"/>
        </w:rPr>
      </w:pPr>
      <w:r>
        <w:rPr>
          <w:rFonts w:ascii="Century Gothic" w:hAnsi="Century Gothic" w:cs="Calibri"/>
          <w:iCs/>
          <w:sz w:val="20"/>
          <w:szCs w:val="20"/>
        </w:rPr>
        <w:t xml:space="preserve">              </w:t>
      </w:r>
      <w:r w:rsidRPr="00435685">
        <w:rPr>
          <w:rFonts w:ascii="Century Gothic" w:hAnsi="Century Gothic" w:cs="Calibri"/>
          <w:iCs/>
          <w:sz w:val="20"/>
          <w:szCs w:val="20"/>
        </w:rPr>
        <w:t>Kanclerz</w:t>
      </w:r>
    </w:p>
    <w:p w:rsidR="00845EE8" w:rsidRPr="00435685" w:rsidRDefault="00845EE8" w:rsidP="00845EE8">
      <w:pPr>
        <w:jc w:val="both"/>
        <w:rPr>
          <w:rFonts w:ascii="Century Gothic" w:hAnsi="Century Gothic" w:cs="Calibri"/>
          <w:iCs/>
          <w:sz w:val="20"/>
          <w:szCs w:val="20"/>
        </w:rPr>
      </w:pP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  <w:t>  </w:t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  <w:t> </w:t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  <w:t xml:space="preserve">     mgr Marek Langowski</w:t>
      </w:r>
    </w:p>
    <w:p w:rsidR="00845EE8" w:rsidRDefault="00845EE8" w:rsidP="00845EE8">
      <w:pPr>
        <w:jc w:val="right"/>
      </w:pPr>
    </w:p>
    <w:sectPr w:rsidR="00845EE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A3C" w:rsidRDefault="00FE2A3C" w:rsidP="00845EE8">
      <w:pPr>
        <w:spacing w:line="240" w:lineRule="auto"/>
      </w:pPr>
      <w:r>
        <w:separator/>
      </w:r>
    </w:p>
  </w:endnote>
  <w:endnote w:type="continuationSeparator" w:id="0">
    <w:p w:rsidR="00FE2A3C" w:rsidRDefault="00FE2A3C" w:rsidP="00845E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A3C" w:rsidRDefault="00FE2A3C" w:rsidP="00845EE8">
      <w:pPr>
        <w:spacing w:line="240" w:lineRule="auto"/>
      </w:pPr>
      <w:r>
        <w:separator/>
      </w:r>
    </w:p>
  </w:footnote>
  <w:footnote w:type="continuationSeparator" w:id="0">
    <w:p w:rsidR="00FE2A3C" w:rsidRDefault="00FE2A3C" w:rsidP="00845E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EE8" w:rsidRPr="00845EE8" w:rsidRDefault="00845EE8" w:rsidP="00845EE8">
    <w:pPr>
      <w:pStyle w:val="Nagwek"/>
    </w:pPr>
    <w:r w:rsidRPr="003D42DC">
      <w:rPr>
        <w:noProof/>
        <w:lang w:eastAsia="pl-PL"/>
      </w:rPr>
      <w:drawing>
        <wp:inline distT="0" distB="0" distL="0" distR="0" wp14:anchorId="34D42FCD" wp14:editId="4B3A97F9">
          <wp:extent cx="1666875" cy="73342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</w:t>
    </w:r>
    <w:r w:rsidRPr="003D42DC">
      <w:rPr>
        <w:noProof/>
        <w:lang w:eastAsia="pl-PL"/>
      </w:rPr>
      <w:drawing>
        <wp:inline distT="0" distB="0" distL="0" distR="0" wp14:anchorId="7EE22275" wp14:editId="4450E601">
          <wp:extent cx="1609725" cy="876300"/>
          <wp:effectExtent l="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EE8"/>
    <w:rsid w:val="00845EE8"/>
    <w:rsid w:val="00D22DD9"/>
    <w:rsid w:val="00FE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8FA76"/>
  <w15:chartTrackingRefBased/>
  <w15:docId w15:val="{8232EC68-9825-4E0E-ACDA-BCE40E52C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5EE8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5EE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EE8"/>
  </w:style>
  <w:style w:type="paragraph" w:styleId="Stopka">
    <w:name w:val="footer"/>
    <w:basedOn w:val="Normalny"/>
    <w:link w:val="StopkaZnak"/>
    <w:uiPriority w:val="99"/>
    <w:unhideWhenUsed/>
    <w:rsid w:val="00845EE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Zaworska</dc:creator>
  <cp:keywords/>
  <dc:description/>
  <cp:lastModifiedBy>Ewelina Zaworska</cp:lastModifiedBy>
  <cp:revision>1</cp:revision>
  <dcterms:created xsi:type="dcterms:W3CDTF">2022-03-21T10:31:00Z</dcterms:created>
  <dcterms:modified xsi:type="dcterms:W3CDTF">2022-03-21T10:41:00Z</dcterms:modified>
</cp:coreProperties>
</file>